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A" w:rsidRDefault="003B68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68CA" w:rsidRDefault="003B68CA">
      <w:pPr>
        <w:pStyle w:val="ConsPlusNormal"/>
        <w:jc w:val="both"/>
        <w:outlineLvl w:val="0"/>
      </w:pPr>
    </w:p>
    <w:p w:rsidR="003B68CA" w:rsidRDefault="003B68CA">
      <w:pPr>
        <w:pStyle w:val="ConsPlusNormal"/>
        <w:outlineLvl w:val="0"/>
      </w:pPr>
      <w:r>
        <w:t>Зарегистрировано в Минюсте России 27 апреля 2018 г. N 50940</w:t>
      </w:r>
    </w:p>
    <w:p w:rsidR="003B68CA" w:rsidRDefault="003B6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</w:pPr>
      <w:r>
        <w:t>МИНИСТЕРСТВО ТРАНСПОРТА РОССИЙСКОЙ ФЕДЕРАЦИИ</w:t>
      </w:r>
    </w:p>
    <w:p w:rsidR="003B68CA" w:rsidRDefault="003B68CA">
      <w:pPr>
        <w:pStyle w:val="ConsPlusTitle"/>
        <w:jc w:val="both"/>
      </w:pPr>
    </w:p>
    <w:p w:rsidR="003B68CA" w:rsidRDefault="003B68CA">
      <w:pPr>
        <w:pStyle w:val="ConsPlusTitle"/>
        <w:jc w:val="center"/>
      </w:pPr>
      <w:r>
        <w:t>ПРИКАЗ</w:t>
      </w:r>
    </w:p>
    <w:p w:rsidR="003B68CA" w:rsidRDefault="003B68CA">
      <w:pPr>
        <w:pStyle w:val="ConsPlusTitle"/>
        <w:jc w:val="center"/>
      </w:pPr>
      <w:r>
        <w:t>от 12 января 2018 г. N 10</w:t>
      </w:r>
    </w:p>
    <w:p w:rsidR="003B68CA" w:rsidRDefault="003B68CA">
      <w:pPr>
        <w:pStyle w:val="ConsPlusTitle"/>
        <w:jc w:val="both"/>
      </w:pPr>
    </w:p>
    <w:p w:rsidR="003B68CA" w:rsidRDefault="003B68CA">
      <w:pPr>
        <w:pStyle w:val="ConsPlusTitle"/>
        <w:jc w:val="center"/>
      </w:pPr>
      <w:r>
        <w:t>ОБ УТВЕРЖДЕНИИ ТРЕБОВАНИЙ</w:t>
      </w:r>
    </w:p>
    <w:p w:rsidR="003B68CA" w:rsidRDefault="003B68CA">
      <w:pPr>
        <w:pStyle w:val="ConsPlusTitle"/>
        <w:jc w:val="center"/>
      </w:pPr>
      <w:r>
        <w:t>К ОРГАНИЗАЦИИ ДВИЖЕНИЯ ПО АВТОМОБИЛЬНЫМ ДОРОГАМ</w:t>
      </w:r>
    </w:p>
    <w:p w:rsidR="003B68CA" w:rsidRDefault="003B68CA">
      <w:pPr>
        <w:pStyle w:val="ConsPlusTitle"/>
        <w:jc w:val="center"/>
      </w:pPr>
      <w:r>
        <w:t>ТЯЖЕЛОВЕСНОГО И (ИЛИ) КРУПНОГАБАРИТНОГО</w:t>
      </w:r>
    </w:p>
    <w:p w:rsidR="003B68CA" w:rsidRDefault="003B68CA">
      <w:pPr>
        <w:pStyle w:val="ConsPlusTitle"/>
        <w:jc w:val="center"/>
      </w:pPr>
      <w:r>
        <w:t>ТРАНСПОРТНОГО СРЕДСТВА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</w:t>
      </w:r>
      <w:proofErr w:type="gramStart"/>
      <w:r>
        <w:t>N 30, ст. 3597; N 49, ст. 5744; 2009, N 29, ст. 3582; N 39, ст. 4532; N 52, ст. 6427; 2010, N 45, ст. 5753; N 51, ст. 6810; 2011, N 7, ст. 901; N 15, ст. 2041; N 17, ст. 2310; N 29, ст. 4284; N 30, ст. 4590, 4591;</w:t>
      </w:r>
      <w:proofErr w:type="gramEnd"/>
      <w:r>
        <w:t xml:space="preserve"> </w:t>
      </w:r>
      <w:proofErr w:type="gramStart"/>
      <w:r>
        <w:t>N 49, ст. 7015; 2012, N 26, ст. 3447; N 50, ст. 6967; 2013, N 14, ст. 1652; N 30, ст. 4083; N 52, ст. 7003; 2014, N 6, ст. 566; N 22, ст. 2770; N 26, ст. 3377; N 43, ст. 5795; 2015, N 1, ст. 72; N 29, ст. 4350, 4359, 4374;</w:t>
      </w:r>
      <w:proofErr w:type="gramEnd"/>
      <w:r>
        <w:t xml:space="preserve"> </w:t>
      </w:r>
      <w:proofErr w:type="gramStart"/>
      <w:r>
        <w:t>N 48, ст. 6723; N 51, ст. 7249; 2016, N 1, ст. 74; N 7, ст. 914; N 15, ст. 2066; N 27, ст. 4190, 4294; 2017, N 7, ст. 1028) приказываю: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организации движения по автомобильным дорогам тяжеловесного и (или) крупногабаритного транспортного средства.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Минтранса России от 15 января 2014 г. N 7 (зарегистрирован Минюстом России 5 июня 2014 г., регистрационный N 32585), с изменениями, внесенными приказом Минтранса России от 10 марта 2016 г. N 53 (зарегистрирован Минюстом России 30 мая 2016 г., регистрационный N</w:t>
      </w:r>
      <w:proofErr w:type="gramEnd"/>
      <w:r>
        <w:t xml:space="preserve"> 42349) и от 5 сентября 2016 г. N 262 (зарегистрирован Минюстом России 15 декабря 2016 г., регистрационный N 44750), признав </w:t>
      </w:r>
      <w:hyperlink r:id="rId8" w:history="1">
        <w:r>
          <w:rPr>
            <w:color w:val="0000FF"/>
          </w:rPr>
          <w:t>пункты 30</w:t>
        </w:r>
      </w:hyperlink>
      <w:r>
        <w:t xml:space="preserve">, </w:t>
      </w:r>
      <w:hyperlink r:id="rId9" w:history="1">
        <w:r>
          <w:rPr>
            <w:color w:val="0000FF"/>
          </w:rPr>
          <w:t>31</w:t>
        </w:r>
      </w:hyperlink>
      <w:r>
        <w:t xml:space="preserve">, </w:t>
      </w:r>
      <w:hyperlink r:id="rId10" w:history="1">
        <w:r>
          <w:rPr>
            <w:color w:val="0000FF"/>
          </w:rPr>
          <w:t>51</w:t>
        </w:r>
      </w:hyperlink>
      <w:r>
        <w:t xml:space="preserve"> - </w:t>
      </w:r>
      <w:hyperlink r:id="rId11" w:history="1">
        <w:r>
          <w:rPr>
            <w:color w:val="0000FF"/>
          </w:rPr>
          <w:t>60</w:t>
        </w:r>
      </w:hyperlink>
      <w:r>
        <w:t xml:space="preserve"> и </w:t>
      </w:r>
      <w:hyperlink r:id="rId12" w:history="1">
        <w:r>
          <w:rPr>
            <w:color w:val="0000FF"/>
          </w:rPr>
          <w:t>приложение N 1</w:t>
        </w:r>
      </w:hyperlink>
      <w:r>
        <w:t xml:space="preserve"> утратившими силу.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</w:pPr>
      <w:r>
        <w:t>Министр</w:t>
      </w:r>
    </w:p>
    <w:p w:rsidR="003B68CA" w:rsidRDefault="003B68CA">
      <w:pPr>
        <w:pStyle w:val="ConsPlusNormal"/>
        <w:jc w:val="right"/>
      </w:pPr>
      <w:r>
        <w:t>М.Ю.СОКОЛОВ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  <w:outlineLvl w:val="0"/>
      </w:pPr>
      <w:r>
        <w:t>Утверждены</w:t>
      </w:r>
    </w:p>
    <w:p w:rsidR="003B68CA" w:rsidRDefault="003B68CA">
      <w:pPr>
        <w:pStyle w:val="ConsPlusNormal"/>
        <w:jc w:val="right"/>
      </w:pPr>
      <w:r>
        <w:t>приказом Минтранса России</w:t>
      </w:r>
    </w:p>
    <w:p w:rsidR="003B68CA" w:rsidRDefault="003B68CA">
      <w:pPr>
        <w:pStyle w:val="ConsPlusNormal"/>
        <w:jc w:val="right"/>
      </w:pPr>
      <w:r>
        <w:t>от 12 января 2018 г. N 10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3B68CA" w:rsidRDefault="003B68CA">
      <w:pPr>
        <w:pStyle w:val="ConsPlusTitle"/>
        <w:jc w:val="center"/>
      </w:pPr>
      <w:r>
        <w:t>К ОРГАНИЗАЦИИ ДВИЖЕНИЯ ПО АВТОМОБИЛЬНЫМ ДОРОГАМ</w:t>
      </w:r>
    </w:p>
    <w:p w:rsidR="003B68CA" w:rsidRDefault="003B68CA">
      <w:pPr>
        <w:pStyle w:val="ConsPlusTitle"/>
        <w:jc w:val="center"/>
      </w:pPr>
      <w:r>
        <w:t>ТЯЖЕЛОВЕСНОГО И (ИЛИ) КРУПНОГАБАРИТНОГО</w:t>
      </w:r>
    </w:p>
    <w:p w:rsidR="003B68CA" w:rsidRDefault="003B68CA">
      <w:pPr>
        <w:pStyle w:val="ConsPlusTitle"/>
        <w:jc w:val="center"/>
      </w:pPr>
      <w:r>
        <w:t>ТРАНСПОРТНОГО СРЕДСТВА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к организации движения по автомобильным дорогам тяжеловесного и (или) крупногабаритного транспортного средства разработаны в соответствии с </w:t>
      </w:r>
      <w:hyperlink r:id="rId13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Требования) и устанавливают требования к тяжеловесному и (или) крупногабаритному</w:t>
      </w:r>
      <w:proofErr w:type="gramEnd"/>
      <w:r>
        <w:t xml:space="preserve"> транспортному средству, к перевозке груза, размещению и креплению груза на тяжеловесном и (или) крупногабаритном транспортном средстве, к автомобилям прикрытия, осуществляющим сопровождение крупногабаритного транспортного средства, к организации движения и обеспечению безопасности дорожного движения перед началом и при движении тяжеловесного и (или) крупногабаритного транспортного средства.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2. Движение тяжеловесного и (или) крупногабаритного транспортного средства по автомобильным дорогам Российской Федерации осуществляется при наличии специального разрешения в соответствии с законодательством Российской Федерации о дорожной деятельности, о безопасности дорожного движения, об автомобильном транспорте и настоящими Требованиями.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1"/>
      </w:pPr>
      <w:r>
        <w:t xml:space="preserve">II. Требования к </w:t>
      </w:r>
      <w:proofErr w:type="gramStart"/>
      <w:r>
        <w:t>тяжеловесному</w:t>
      </w:r>
      <w:proofErr w:type="gramEnd"/>
      <w:r>
        <w:t xml:space="preserve"> и (или) крупногабаритному</w:t>
      </w:r>
    </w:p>
    <w:p w:rsidR="003B68CA" w:rsidRDefault="003B68CA">
      <w:pPr>
        <w:pStyle w:val="ConsPlusTitle"/>
        <w:jc w:val="center"/>
      </w:pPr>
      <w:r>
        <w:t>транспортному средству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 xml:space="preserve">3. Тяжеловесное и (или) крупногабаритное транспортное средство должно соответствовать требованиям Технического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 &lt;1&gt;, </w:t>
      </w:r>
      <w:hyperlink r:id="rId15" w:history="1">
        <w:r>
          <w:rPr>
            <w:color w:val="0000FF"/>
          </w:rPr>
          <w:t>Правил</w:t>
        </w:r>
      </w:hyperlink>
      <w:r>
        <w:t xml:space="preserve"> дорожного движения &lt;2&gt; и нормативных документов Российской Федерации, устанавливающих порядок допуска транспортных средств к эксплуатации и обязанности должностных лиц по обеспечению безопасности дорожного движения.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9 декабря 2011 г. N 877 "О принятии Технического регламента Таможенного союза "О безопасности колесных транспортных средств"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 (с учетом внесенных изменений) (далее - Технический регламент Таможенного союза).</w:t>
      </w:r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законодательства Российской Федерации, 1993, N 47, ст. 4531; 1996; 1998, N 45, ст. 5521; 2000, N 18, ст. 1985; 2001, N 11, ст. 1029; 2002, N 9, ст. 931; N 27, ст. 2693;</w:t>
      </w:r>
      <w:proofErr w:type="gramEnd"/>
      <w:r>
        <w:t xml:space="preserve"> </w:t>
      </w:r>
      <w:proofErr w:type="gramStart"/>
      <w:r>
        <w:t>2003, N 20, ст. 1899; N 40, ст. 3891; 2005, N 52, ст. 5733; 2006, N 11, ст. 1179; 2008, N 8, ст. 741; N 17, ст. 1882; 2009, N 2, ст. 233; N 5, ст. 610; 2010, N 9, ст. 976; N 20, ст. 2471; 2011, N 42, ст. 5922;</w:t>
      </w:r>
      <w:proofErr w:type="gramEnd"/>
      <w:r>
        <w:t xml:space="preserve"> </w:t>
      </w:r>
      <w:proofErr w:type="gramStart"/>
      <w:r>
        <w:t>2012, N 1, ст. 154; N 15, ст. 1780; N 30, ст. 4289; N 47, ст. 6505; 2013, N 5, ст. 371, ст. 404; N 24, ст. 2999; N 29, ст. 3966; N 31, ст. 4218; N 52, ст. 7173; 2014, N 14, ст. 1625; N 21, ст. 2707; N 32, ст. 4487;</w:t>
      </w:r>
      <w:proofErr w:type="gramEnd"/>
      <w:r>
        <w:t xml:space="preserve"> </w:t>
      </w:r>
      <w:proofErr w:type="gramStart"/>
      <w:r>
        <w:t>N 38, ст. 5062; N 44, ст. 6063; N 47, ст. 6557; 2015, N 1, ст. 223, N 15, ст. 2276; N 17, ст. 2568; N 27, ст. 4083; N 46, ст. 6376; 2016, N 5, ст. 694; N 23, ст. 3325; N 31, ст. 5018, 5029; N 38, ст. 5553;</w:t>
      </w:r>
      <w:proofErr w:type="gramEnd"/>
      <w:r>
        <w:t xml:space="preserve"> </w:t>
      </w:r>
      <w:proofErr w:type="gramStart"/>
      <w:r>
        <w:t>2017, N 14, ст. 2070, N 28, ст. 4139, N 30, ст. 4666, N 45, ст. 6658, 6663; 2018, N 1, ст. 359, N 8, ст. 1225) (далее - Правила дорожного движения).</w:t>
      </w:r>
      <w:proofErr w:type="gramEnd"/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4. Технические характеристики тяжеловесного и (или) крупногабаритного транспортного средства должны быть подтверждены паспортом транспортного средства, одобрением типа транспортного средства и свидетельством о безопасности конструкции транспортного средства &lt;3&gt; (далее - техническая документация транспортного средства).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8" w:history="1">
        <w:r>
          <w:rPr>
            <w:color w:val="0000FF"/>
          </w:rPr>
          <w:t>Пункт 8</w:t>
        </w:r>
      </w:hyperlink>
      <w:r>
        <w:t xml:space="preserve"> Технического регламента Таможенного союза.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5. При перевозке грузов тяжеловесными и (или) крупногабаритными транспортными средствами необходимо использовать транспортные средства, предназначенные для перевозки в соответствии с технической документацией транспортного средства.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6. Не допускается движение тяжеловесного и (или) крупногабаритного транспортного средства, если масса буксируемого тяжеловесного и (или) крупногабаритного прицепа (полуприцепа) превышает технические нормативы тягача, установленные заводом-изготовителем.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7. Тяжеловесное и (или) крупногабаритное транспортное средство должно быть оснащено системой автоматического (аварийного) торможения, которая соответствует требованиям законодательства Российской Федерации о техническом регулировании &lt;4&gt;, а также должно иметь не менее двух противооткатных упоров для каждого транспортного средства в целях дополнительной фиксации колес в случае аварийной остановки на уклоне.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Приложение N 8</w:t>
        </w:r>
      </w:hyperlink>
      <w:r>
        <w:t xml:space="preserve"> к Техническому регламенту Таможенного союза.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bookmarkStart w:id="1" w:name="P57"/>
      <w:bookmarkEnd w:id="1"/>
      <w:r>
        <w:t xml:space="preserve">8. На тяжеловесном и (или) крупногабаритном транспортном средстве должны быть установлены опознавательные знаки: "автопоезд", "крупногабаритный груз", "длинномерное транспортное средство", "ограничение скорости" согласно </w:t>
      </w:r>
      <w:hyperlink w:anchor="P248" w:history="1">
        <w:r>
          <w:rPr>
            <w:color w:val="0000FF"/>
          </w:rPr>
          <w:t>приложению N 3</w:t>
        </w:r>
      </w:hyperlink>
      <w:r>
        <w:t xml:space="preserve"> к настоящим Требованиям (в зависимости от габаритов перевозимого груза).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9. Тяжеловесное и (или) крупногабаритное транспортное средство должно быть оборудовано специальными световыми огнями, проблесковыми маячками оранжевого или желтого цвета в соответствии с </w:t>
      </w:r>
      <w:hyperlink r:id="rId20" w:history="1">
        <w:r>
          <w:rPr>
            <w:color w:val="0000FF"/>
          </w:rPr>
          <w:t>пунктом 23.4</w:t>
        </w:r>
      </w:hyperlink>
      <w:r>
        <w:t xml:space="preserve"> Правил дорожного движения.</w:t>
      </w:r>
    </w:p>
    <w:p w:rsidR="003B68CA" w:rsidRDefault="003B68CA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10. Крайние точки (по ширине и длине) крупногабаритного транспортного средства должны быть оборудованы мигающими (проблесковыми) фонарями (сигналами) желтого или оранжевого цвета согласно </w:t>
      </w:r>
      <w:hyperlink w:anchor="P248" w:history="1">
        <w:r>
          <w:rPr>
            <w:color w:val="0000FF"/>
          </w:rPr>
          <w:t>приложению N 3</w:t>
        </w:r>
      </w:hyperlink>
      <w:r>
        <w:t xml:space="preserve"> к настоящим Требованиям.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11. При длине крупногабаритного транспортного средства свыше 25 м боковые поверхности транспортного средства должны быть оборудованы мигающими (проблесковыми) фонарями (сигналами) желтого или оранжевого цвета с расстоянием между ними 2 м.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12. На кабине тягача крупногабаритного транспортного средства должно быть установлено не менее двух наружных зеркал заднего вида с обеих сторон, которые должны обеспечивать водителю </w:t>
      </w:r>
      <w:proofErr w:type="gramStart"/>
      <w:r>
        <w:t>обзор</w:t>
      </w:r>
      <w:proofErr w:type="gramEnd"/>
      <w:r>
        <w:t xml:space="preserve"> как при прямолинейном, так и при криволинейном движении с учетом габаритов транспортного средства и перевозимого груза.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Собственник (владелец) транспортного средства (далее - субъект транспортной деятельности) обязан обеспечить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неисправностей, предусмотренных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Основным положениям по допуску транспортных средств к эксплуатации и обязанностям должностных лиц по обеспечению безопасности дорожного движения. &lt;5&gt;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 xml:space="preserve">14. Контроль технического состояния тяжеловесного и (или) крупногабаритного транспортного средства должен обеспечиваться субъектом транспортной деятельности. Сведения </w:t>
      </w:r>
      <w:r>
        <w:lastRenderedPageBreak/>
        <w:t>о проведенном контроле технического состояния транспортного средства (автопоезда) и месте его проведения фиксируются в путевых листах.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1"/>
      </w:pPr>
      <w:r>
        <w:t>III. Требования к перевозке груза, размещению</w:t>
      </w:r>
    </w:p>
    <w:p w:rsidR="003B68CA" w:rsidRDefault="003B68CA">
      <w:pPr>
        <w:pStyle w:val="ConsPlusTitle"/>
        <w:jc w:val="center"/>
      </w:pPr>
      <w:r>
        <w:t xml:space="preserve">и креплению на </w:t>
      </w:r>
      <w:proofErr w:type="gramStart"/>
      <w:r>
        <w:t>тяжеловесном</w:t>
      </w:r>
      <w:proofErr w:type="gramEnd"/>
      <w:r>
        <w:t xml:space="preserve"> и (или) крупногабаритном</w:t>
      </w:r>
    </w:p>
    <w:p w:rsidR="003B68CA" w:rsidRDefault="003B68CA">
      <w:pPr>
        <w:pStyle w:val="ConsPlusTitle"/>
        <w:jc w:val="center"/>
      </w:pPr>
      <w:r>
        <w:t xml:space="preserve">транспортном </w:t>
      </w:r>
      <w:proofErr w:type="gramStart"/>
      <w:r>
        <w:t>средстве</w:t>
      </w:r>
      <w:proofErr w:type="gramEnd"/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15. Размещение и крепление груза на тяжеловесном и (или) крупногабаритном транспортном средстве должно соответствовать схеме размещения и крепления груза, разработанной его производителем или грузоотправителем, с учетом мест расположения крепежных элементов, указанных изготовителем груза.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16. На крупногабаритное транспортное средство с неделимым грузом допускается догружать аналогичные грузы при одновременном выполнении условий: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габаритные параметры крупногабаритного транспортного средства с неделимым грузом и догружаемым аналогичным грузом не превышают габаритные параметры крупногабаритного транспортного средства с неделимым грузом (габаритные параметры крупногабаритного транспортного средства с неделимым грузом до погрузки на него догружаемого аналогичного груза);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весовые параметры крупногабаритного транспортного средства с неделимым грузом и догружаемым аналогичным грузом не превышают допустимые массу и осевые нагрузки транспортного средства, установленные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перевозки грузов автомобильным транспортом &lt;6&gt;.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2011 г. N 272 "Об утверждении Правил перевозки грузов автомобильным транспортом" (Собрание законодательства Российской Федерации, 2011, N 17, ст. 2407; 2012, N 10, ст. 1223; 2014, N 3, ст. 281; 2015, N 50, ст. 7162; 2016, N 49, ст. 6901; </w:t>
      </w:r>
      <w:proofErr w:type="gramStart"/>
      <w:r>
        <w:t>2017, N 1, ст. 177, N 51, ст. 7831) (далее - Правила перевозки грузов автомобильным транспортом).</w:t>
      </w:r>
      <w:proofErr w:type="gramEnd"/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17. Способы крепления груза на тяжеловесном и (или) крупногабаритном транспортном средстве определяются в соответствии с требованиями законодательства Российской Федерации &lt;7&gt;.</w:t>
      </w:r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</w:t>
      </w:r>
      <w:proofErr w:type="gramEnd"/>
      <w:r>
        <w:t xml:space="preserve"> </w:t>
      </w:r>
      <w:proofErr w:type="gramStart"/>
      <w:r>
        <w:t>июня 2014 г., регистрационный N 32585) с изменениями, внесенными приказами Минтранса России от 10 марта 2016 г. N 53 (зарегистрирован Минюстом России 30 мая 2016 г., регистрационный N 42349) и от 5 сентября 2016 г. N 262 (зарегистрирован Минюстом России 15 декабря 2016 г., регистрационный N 44750) (далее - приказ Минтранса России от 15 января 2014 г. N 7).</w:t>
      </w:r>
      <w:proofErr w:type="gramEnd"/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18. Водитель тяжеловесного и (или) крупногабаритного транспортного средства обязан проверять исправность крепежных приспособлений груза после приведения их в рабочее состояние перед началом движения, а также контролировать их исправность во время движения.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1"/>
      </w:pPr>
      <w:r>
        <w:t>IV. Требования к автомобилям прикрытия, осуществляющим</w:t>
      </w:r>
    </w:p>
    <w:p w:rsidR="003B68CA" w:rsidRDefault="003B68CA">
      <w:pPr>
        <w:pStyle w:val="ConsPlusTitle"/>
        <w:jc w:val="center"/>
      </w:pPr>
      <w:r>
        <w:t>сопровождение крупногабаритного транспортного средства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bookmarkStart w:id="3" w:name="P88"/>
      <w:bookmarkEnd w:id="3"/>
      <w:r>
        <w:t>19. Для обеспечения безопасности при движении крупногабаритного транспортного средства и информирования других участников дорожного движения о его габаритах используются автомобили прикрытия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настоящим Требованиям).</w:t>
      </w:r>
    </w:p>
    <w:p w:rsidR="003B68CA" w:rsidRDefault="003B68CA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20. На передние, задние и боковые части кузова автомобиля прикрытия должны быть нанесены одинаковые по виду, размеру (шириной от 50 до 150 мм) и размещению светоотражающие полосы желто-оранжевого цвета (</w:t>
      </w:r>
      <w:hyperlink w:anchor="P231" w:history="1">
        <w:r>
          <w:rPr>
            <w:color w:val="0000FF"/>
          </w:rPr>
          <w:t>приложение N 2</w:t>
        </w:r>
      </w:hyperlink>
      <w:r>
        <w:t xml:space="preserve"> к настоящим Требованиям).</w:t>
      </w:r>
    </w:p>
    <w:p w:rsidR="003B68CA" w:rsidRDefault="003B68CA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21. Информационные надписи должны быть нанесены на боковые поверхности транспортного средства (допускается нанесение информационных надписей на заднюю часть транспортного средства) и содержать наименование собственника автомобиля прикрытия (рекомендуемый образец приведен в </w:t>
      </w:r>
      <w:hyperlink w:anchor="P231" w:history="1">
        <w:r>
          <w:rPr>
            <w:color w:val="0000FF"/>
          </w:rPr>
          <w:t>приложении N 2</w:t>
        </w:r>
      </w:hyperlink>
      <w:r>
        <w:t xml:space="preserve"> к настоящим Требованиям).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22. Автомобиль прикрытия должен быть оборудован: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1) двумя проблесковыми маячками желтого или оранжевого цвета (допускается применение проблесковых маячков, конструктивно объединенных в одном корпусе);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2) информационным светоотражающим или внутренним освещением табло желтого цвета размером 1,0 м на 0,5 м с текстом "БОЛЬШАЯ ШИРИНА" или "БОЛЬШАЯ ДЛИНА", выполненным из световозвращающей пленки синего цвета с высотой шрифта не менее 14 см;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3) устройством для определения высоты искусственных сооружений и других инженерных коммуникаций.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23. Проблесковый маячок должен устанавливаться на крыше автомобиля прикрытия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24. Информационное светоотражающее или с внутренним освещением табло должно устанавливаться на крыше автомобиля прикрытия или над ней, за проблесковым маячком по ходу движения или перед проблесковым маячком в случае движения автомобиля прикрытия позади крупногабаритного транспортного средства и использоваться в целях дополнительного информирования участников дорожного движения о габаритных параметрах сопровождаемого транспортного средства: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1) при ширине крупногабаритного транспортного средства свыше 3,5 м - "БОЛЬШАЯ ШИРИНА";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2) при длине крупногабаритного транспортного средства более 25 м и при ширине не более 3,5 м - "БОЛЬШАЯ ДЛИНА";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3) при ширине крупногабаритного транспортного средства свыше 3,5 м и длине более 25 м на автомобиле прикрытия, следующим впереди, - "БОЛЬШАЯ ШИРИНА", а на автомобиле прикрытия, следующим позади, - "БОЛЬШАЯ ДЛИНА".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1"/>
      </w:pPr>
      <w:r>
        <w:t>V. Требования к организации движения</w:t>
      </w:r>
    </w:p>
    <w:p w:rsidR="003B68CA" w:rsidRDefault="003B68CA">
      <w:pPr>
        <w:pStyle w:val="ConsPlusTitle"/>
        <w:jc w:val="center"/>
      </w:pPr>
      <w:r>
        <w:t>и обеспечению безопасности дорожного движения перед началом</w:t>
      </w:r>
    </w:p>
    <w:p w:rsidR="003B68CA" w:rsidRDefault="003B68CA">
      <w:pPr>
        <w:pStyle w:val="ConsPlusTitle"/>
        <w:jc w:val="center"/>
      </w:pPr>
      <w:r>
        <w:t xml:space="preserve">и при движении </w:t>
      </w:r>
      <w:proofErr w:type="gramStart"/>
      <w:r>
        <w:t>тяжеловесного</w:t>
      </w:r>
      <w:proofErr w:type="gramEnd"/>
      <w:r>
        <w:t xml:space="preserve"> и (или) крупногабаритного</w:t>
      </w:r>
    </w:p>
    <w:p w:rsidR="003B68CA" w:rsidRDefault="003B68CA">
      <w:pPr>
        <w:pStyle w:val="ConsPlusTitle"/>
        <w:jc w:val="center"/>
      </w:pPr>
      <w:r>
        <w:t>транспортного средства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 xml:space="preserve">25. В случаях, если ширина транспортного средства превышает 5 м или длина транспортного </w:t>
      </w:r>
      <w:r>
        <w:lastRenderedPageBreak/>
        <w:t>средства превышает 35 м или если на двухполосных автомобильных дорогах при движении крупногабаритного транспортного средства ширина проезжей части для встречного движения составляет менее 3 м, должен быть разработан проект организации дорожного движения по маршруту или участку маршрута.</w:t>
      </w:r>
    </w:p>
    <w:p w:rsidR="003B68CA" w:rsidRDefault="003B68C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26. Проект организации дорожного движения должен содержать следующие сведения: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1) схему и описание маршрута движения;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2) характеристики и параметры транспортных средств, участвующих в движении;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3) расположение автомобилей прикрытия спереди и сзади сопровождаемого транспортного средства;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4) график движения по маршруту с учетом интенсивности дорожного движения;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5) схемы изменения организации дорожного движения и прикрытия автомобилем сопровождения на участках, имеющих ограниченную видимость, и в местах, указанных в </w:t>
      </w:r>
      <w:hyperlink r:id="rId26" w:history="1">
        <w:r>
          <w:rPr>
            <w:color w:val="0000FF"/>
          </w:rPr>
          <w:t>графе</w:t>
        </w:r>
      </w:hyperlink>
      <w:r>
        <w:t xml:space="preserve"> "Особые условия" специального разрешения на движение по автомобильным дорогам тяжеловесного и (или) крупногабаритного транспортного средства (далее - специальное разрешение) &lt;8&gt;;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 с изменениями, внесенными приказами Минтранса России от 15 января 2014 г. N 7 (зарегистрирован Минюстом России 5 июня 2014</w:t>
      </w:r>
      <w:proofErr w:type="gramEnd"/>
      <w:r>
        <w:t xml:space="preserve"> г., регистрационный N 32585), от 16 июня 2016 г. N 158 (зарегистрирован Минюстом России 2 августа 2016 г., регистрационный N 43062) и от 21 сентября 2016 г. N 272 (зарегистрирован Минюстом России 21 марта 2017 г., регистрационный N 46064) (далее - приказ Минтранса России от 24 июля 2012 г. N 258).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6) порядок проезда сложных участков маршрута (поворотов, перекрестков, железнодорожных переездов, сужений проезжей части, участков с выездом на полосу встречного движения) с нанесенной на схему траекторией дорожного движения;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7) места осуществления контрольных промеров габаритов искусственных сооружений и коммуникаций в процессе дорожного движения;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8) места остановок и стоянок для отдыха и пропуска попутных (встречных) транспортных средств.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Проект организации дорожного движения должен также содержать информацию о необходимости полного или частичного перекрытия движения на участках автомобильной дороги.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27. Сведения, изложенные в проекте организации дорожного движения, должны быть подтверждены фотоматериалами, отражающими реальное состояние объектов дорожной инфраструктуры на момент подачи заявления на получение специального разрешения.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28. Проект организации дорожного движения должен быть оформлен в бумажном виде, сброшюрован с указанием фамилии, имени, отчества (при наличии) и подписи лица, его разработавшего, и заверен печатью (при наличии) организации (для юридических лиц) и подписью индивидуального предпринимателя с проставлением даты.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lastRenderedPageBreak/>
        <w:t xml:space="preserve">29. </w:t>
      </w:r>
      <w:proofErr w:type="gramStart"/>
      <w:r>
        <w:t>Проект организации дорожного движения представляется в уполномоченный орган по выдаче специального разрешения на движение по автомобильным дорогам тяжеловесного и (или) крупногабаритного транспортного средства (далее - уполномоченный орган) в установленном порядке &lt;9&gt;. При необходимости выполнения специального проекта на движение тяжеловесного и (или) крупногабаритного транспортного средства проект организации дорожного движения включается в специальный проект.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Минтранса России от 21 сентября 2016 г. N 272 "Об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</w:r>
      <w:proofErr w:type="gramStart"/>
      <w:r>
        <w:t>осей</w:t>
      </w:r>
      <w:proofErr w:type="gramEnd"/>
      <w:r>
        <w:t xml:space="preserve"> которых превышают более чем на два процента допустимую массу транспортного средства и (или) допустимую нагрузку на ось или группу осей </w:t>
      </w:r>
      <w:proofErr w:type="gramStart"/>
      <w:r>
        <w:t>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июня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21 марта 2017 г., регистрационный N 46064) (далее - приказ</w:t>
      </w:r>
      <w:proofErr w:type="gramEnd"/>
      <w:r>
        <w:t xml:space="preserve"> </w:t>
      </w:r>
      <w:proofErr w:type="gramStart"/>
      <w:r>
        <w:t>Минтранса России от 21 сентября 2016 г. N 272).</w:t>
      </w:r>
      <w:proofErr w:type="gramEnd"/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 xml:space="preserve">30. Специальное разрешение с документами, предусмотренными приказами Минтранса России от 24 июля 2012 г. </w:t>
      </w:r>
      <w:hyperlink r:id="rId30" w:history="1">
        <w:r>
          <w:rPr>
            <w:color w:val="0000FF"/>
          </w:rPr>
          <w:t>N 258</w:t>
        </w:r>
      </w:hyperlink>
      <w:r>
        <w:t xml:space="preserve"> и от 21 сентября 2016 г. </w:t>
      </w:r>
      <w:hyperlink r:id="rId31" w:history="1">
        <w:r>
          <w:rPr>
            <w:color w:val="0000FF"/>
          </w:rPr>
          <w:t>N 272</w:t>
        </w:r>
      </w:hyperlink>
      <w:r>
        <w:t>, и проектом организации дорожного движения направляются в подразделение Госавтоинспекции МВД России, осуществляющее согласование.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31. Водителю тяжеловесного и (или) крупногабаритного транспортного средства запрещается: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1) начинать и осуществлять движение без специального разрешения;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2) начинать и осуществлять движение со специальным разрешением, срок действия которого истек, а </w:t>
      </w:r>
      <w:proofErr w:type="gramStart"/>
      <w:r>
        <w:t>также</w:t>
      </w:r>
      <w:proofErr w:type="gramEnd"/>
      <w:r>
        <w:t xml:space="preserve"> если специальное разрешение неправильно оформлено (при отсутствии в специальном разрешении подписей, печатей (при наличии) должностных лиц и уполномоченных органов) и исправлений (при наличии);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3) отклоняться от установленного в специальном разрешении маршрута;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4) превышать указанную в специальном разрешении и на дорожном знаке скорость движения;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5) осуществлять движение во время гололеда, снегопада, а также при метеорологической видимости менее 100 м;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6) двигаться по разделительной полосе, обочине, откосу автомобильной дороги, если такой порядок не определен особыми условиями специального разрешения;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7) останавливаться для отдыха вне специально обозначенных стоянок, расположенных за пределами проезжей части;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8) начинать либо продолжать движение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Внесение в специальное разрешение записей и исправлений запрещается.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lastRenderedPageBreak/>
        <w:t>32. В случае</w:t>
      </w:r>
      <w:proofErr w:type="gramStart"/>
      <w:r>
        <w:t>,</w:t>
      </w:r>
      <w:proofErr w:type="gramEnd"/>
      <w:r>
        <w:t xml:space="preserve"> если во время движения тяжеловесного и (или) крупногабаритного транспортного средства возникнут обстоятельства, требующие изменения маршрута движения, субъект транспортной деятельности обязан получить в установленном порядке &lt;10&gt; специальное разрешение на движение по новому маршруту.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Минтранса России от 21 сентября 2016 г. N 272.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33. Движение тяжеловесных и (или) крупногабаритных транспортных средств осуществляется в одиночном порядке. Не допускается движение тяжеловесных и (или) крупногабаритных транспортных средств организованными колоннами.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34. Запрещается передвижение крупногабаритной и (или) тяжеловесной техники на гусеничном ходу на автомобильных дорогах, имеющих покрытие (за исключением грунтовых).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Скорость движения тяжеловесного и (или) крупногабаритного транспортного средства устанавливается уполномоченным органом с учетом сведений, поступивших от владельцев автомобильных дорог и органов управления Госавтоинспекции МВД России, согласовавших маршрут движения тяжеловесного и (или) крупногабаритного транспортного средства, типа транспортного средства, технического состояния участков автомобильных дорог, маршрута, заявленного в специальном разрешении, погодных условий, а также других условий, влияющих на безопасное движение транспортных средств.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36. Необходимость и количество автомобилей прикрытия определяется в соответствии с обязательными условиями использования автомобилей прикрытия, установленными </w:t>
      </w:r>
      <w:hyperlink w:anchor="P172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37. Необходимость участия в сопровождении патрульных автомобилей Госавтоинспекции МВД России определяется органом управления Госавтоинспекции МВД России при согласовании специального разрешения в порядке, установленном законодательством Российской Федерации &lt;11&gt;.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 (Собрание законодательства Российской Федерации, 2007, N 4, ст. 525; 2009, N 8, ст. 971; 2012, N 53, ст. 7931;</w:t>
      </w:r>
      <w:proofErr w:type="gramEnd"/>
      <w:r>
        <w:t xml:space="preserve"> </w:t>
      </w:r>
      <w:proofErr w:type="gramStart"/>
      <w:r>
        <w:t>2013, N 49, ст. 6443; 2014, N 22, ст. 2885; 2016, N 49, ст. 6914).</w:t>
      </w:r>
      <w:proofErr w:type="gramEnd"/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38. Автомобиль прикрытия должен двигаться: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1) перед сопровождаемым транспортным средством:</w:t>
      </w:r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>на безопасном для движения расстоянии (с учетом установленной скорости движения), уступом с левой стороны по отношению к тяжеловесному и (или) крупногабаритному транспортному средству таким образом, чтобы его габарит по ширине выступал за габарит сопровождаемого транспортного средства;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r>
        <w:t>с информационным светоотражающим или с внутренним освещением табло "БОЛЬШАЯ ШИРИНА" или "БОЛЬШАЯ ДЛИНА", обращенным вперед;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с развернутым устройством для определения высоты искусственных сооружений и других </w:t>
      </w:r>
      <w:r>
        <w:lastRenderedPageBreak/>
        <w:t>инженерных коммуникаций при высоте транспортного средства с грузом или без груза 4,5 м и более;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2) позади сопровождаемого транспортного средства: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с информационным светоотражающим или с внутренним освещением табло "БОЛЬШАЯ ШИРИНА" или "БОЛЬШАЯ ДЛИНА", обращенным назад.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39. Использование автомобиля прикрытия также необходимо:</w:t>
      </w:r>
    </w:p>
    <w:p w:rsidR="003B68CA" w:rsidRDefault="003B68CA">
      <w:pPr>
        <w:pStyle w:val="ConsPlusNormal"/>
        <w:spacing w:before="220"/>
        <w:ind w:firstLine="540"/>
        <w:jc w:val="both"/>
      </w:pPr>
      <w:proofErr w:type="gramStart"/>
      <w:r>
        <w:t>позади крупногабаритного транспортного средства в случае, когда свес груза за задний габарит крупногабаритного транспортного средства составляет более 4 м независимо от прочих параметров данного транспортного средства с грузом;</w:t>
      </w:r>
      <w:proofErr w:type="gramEnd"/>
    </w:p>
    <w:p w:rsidR="003B68CA" w:rsidRDefault="003B68CA">
      <w:pPr>
        <w:pStyle w:val="ConsPlusNormal"/>
        <w:spacing w:before="220"/>
        <w:ind w:firstLine="540"/>
        <w:jc w:val="both"/>
      </w:pPr>
      <w:r>
        <w:t>спереди крупногабаритного транспортного средства в случае, когда габаритный параметр крупногабаритного транспортного средства с грузом или без груза по высоте составляет 4,5 м и более.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40. Требования по обеспечению профессиональной компетентности и профессиональной пригодности водителей и специалистов субъекта транспортной деятельности, участвующего в процессе движения тяжеловесного и (или) крупногабаритного транспортного средства, должны соответствовать </w:t>
      </w:r>
      <w:hyperlink r:id="rId35" w:history="1">
        <w:r>
          <w:rPr>
            <w:color w:val="0000FF"/>
          </w:rPr>
          <w:t>Перечню</w:t>
        </w:r>
      </w:hyperlink>
      <w:r>
        <w:t xml:space="preserve"> мероприятий по подготовке работников, осуществляющих перевозки автомобильным транспортом и городским наземным электрическим транспортом, к безопасной работе. &lt;12&gt;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41. Разрешенное время движения тяжеловесного и (или) крупногабаритного транспортного средства (дни и часы) определяется владельцами автомобильных дорог, инженерных коммуникаций, железнодорожных путей, Госавтоинспекцией МВД России, согласующими специальное разрешение, уполномоченным органом и указывается в специальном разрешении.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  <w:outlineLvl w:val="1"/>
      </w:pPr>
      <w:r>
        <w:t>Приложение N 1</w:t>
      </w:r>
    </w:p>
    <w:p w:rsidR="003B68CA" w:rsidRDefault="003B68CA">
      <w:pPr>
        <w:pStyle w:val="ConsPlusNormal"/>
        <w:jc w:val="right"/>
      </w:pPr>
      <w:r>
        <w:t>к Требованиям (</w:t>
      </w:r>
      <w:hyperlink w:anchor="P88" w:history="1">
        <w:r>
          <w:rPr>
            <w:color w:val="0000FF"/>
          </w:rPr>
          <w:t>пункты 19</w:t>
        </w:r>
      </w:hyperlink>
      <w:r>
        <w:t xml:space="preserve"> и </w:t>
      </w:r>
      <w:hyperlink w:anchor="P144" w:history="1">
        <w:r>
          <w:rPr>
            <w:color w:val="0000FF"/>
          </w:rPr>
          <w:t>36</w:t>
        </w:r>
      </w:hyperlink>
      <w:r>
        <w:t>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</w:pPr>
      <w:bookmarkStart w:id="8" w:name="P172"/>
      <w:bookmarkEnd w:id="8"/>
      <w:r>
        <w:t>ОБЯЗАТЕЛЬНЫЕ УСЛОВИЯ ИСПОЛЬЗОВАНИЯ АВТОМОБИЛЕЙ ПРИКРЫТИЯ</w:t>
      </w:r>
    </w:p>
    <w:p w:rsidR="003B68CA" w:rsidRDefault="003B68CA">
      <w:pPr>
        <w:pStyle w:val="ConsPlusNormal"/>
        <w:jc w:val="both"/>
      </w:pPr>
    </w:p>
    <w:p w:rsidR="003B68CA" w:rsidRDefault="003B68CA">
      <w:pPr>
        <w:sectPr w:rsidR="003B68CA" w:rsidSect="00A32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37"/>
        <w:gridCol w:w="1020"/>
        <w:gridCol w:w="794"/>
        <w:gridCol w:w="737"/>
        <w:gridCol w:w="1020"/>
        <w:gridCol w:w="737"/>
        <w:gridCol w:w="737"/>
        <w:gridCol w:w="1020"/>
        <w:gridCol w:w="737"/>
        <w:gridCol w:w="1077"/>
        <w:gridCol w:w="1531"/>
      </w:tblGrid>
      <w:tr w:rsidR="003B68CA">
        <w:tc>
          <w:tcPr>
            <w:tcW w:w="1474" w:type="dxa"/>
            <w:vMerge w:val="restart"/>
          </w:tcPr>
          <w:p w:rsidR="003B68CA" w:rsidRDefault="003B68CA">
            <w:pPr>
              <w:pStyle w:val="ConsPlusNormal"/>
              <w:jc w:val="center"/>
            </w:pPr>
            <w: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1167" w:type="dxa"/>
            <w:gridSpan w:val="12"/>
          </w:tcPr>
          <w:p w:rsidR="003B68CA" w:rsidRDefault="003B68CA">
            <w:pPr>
              <w:pStyle w:val="ConsPlusNormal"/>
              <w:jc w:val="center"/>
            </w:pPr>
            <w:r>
              <w:t>Габаритные параметры транспортного средства или транспортного средства с грузом</w:t>
            </w:r>
          </w:p>
        </w:tc>
      </w:tr>
      <w:tr w:rsidR="003B68CA">
        <w:tc>
          <w:tcPr>
            <w:tcW w:w="1474" w:type="dxa"/>
            <w:vMerge/>
          </w:tcPr>
          <w:p w:rsidR="003B68CA" w:rsidRDefault="003B68CA"/>
        </w:tc>
        <w:tc>
          <w:tcPr>
            <w:tcW w:w="11167" w:type="dxa"/>
            <w:gridSpan w:val="12"/>
          </w:tcPr>
          <w:p w:rsidR="003B68CA" w:rsidRDefault="003B68CA">
            <w:pPr>
              <w:pStyle w:val="ConsPlusNormal"/>
              <w:jc w:val="center"/>
            </w:pPr>
            <w:r>
              <w:t>Ширина</w:t>
            </w:r>
          </w:p>
        </w:tc>
      </w:tr>
      <w:tr w:rsidR="003B68CA">
        <w:tc>
          <w:tcPr>
            <w:tcW w:w="1474" w:type="dxa"/>
            <w:vMerge/>
          </w:tcPr>
          <w:p w:rsidR="003B68CA" w:rsidRDefault="003B68CA"/>
        </w:tc>
        <w:tc>
          <w:tcPr>
            <w:tcW w:w="1757" w:type="dxa"/>
            <w:gridSpan w:val="2"/>
          </w:tcPr>
          <w:p w:rsidR="003B68CA" w:rsidRDefault="003B68CA">
            <w:pPr>
              <w:pStyle w:val="ConsPlusNormal"/>
              <w:jc w:val="center"/>
            </w:pPr>
            <w:r>
              <w:t>менее 3 м</w:t>
            </w:r>
          </w:p>
        </w:tc>
        <w:tc>
          <w:tcPr>
            <w:tcW w:w="1814" w:type="dxa"/>
            <w:gridSpan w:val="2"/>
          </w:tcPr>
          <w:p w:rsidR="003B68CA" w:rsidRDefault="003B68CA">
            <w:pPr>
              <w:pStyle w:val="ConsPlusNormal"/>
              <w:jc w:val="center"/>
            </w:pPr>
            <w:r>
              <w:t>от 3 (включительно) до 3,5 м (включительно)</w:t>
            </w:r>
          </w:p>
        </w:tc>
        <w:tc>
          <w:tcPr>
            <w:tcW w:w="2494" w:type="dxa"/>
            <w:gridSpan w:val="3"/>
          </w:tcPr>
          <w:p w:rsidR="003B68CA" w:rsidRDefault="003B68CA">
            <w:pPr>
              <w:pStyle w:val="ConsPlusNormal"/>
              <w:jc w:val="center"/>
            </w:pPr>
            <w:r>
              <w:t>свыше 3,5 до 4 м (включительно)</w:t>
            </w:r>
          </w:p>
        </w:tc>
        <w:tc>
          <w:tcPr>
            <w:tcW w:w="2494" w:type="dxa"/>
            <w:gridSpan w:val="3"/>
          </w:tcPr>
          <w:p w:rsidR="003B68CA" w:rsidRDefault="003B68CA">
            <w:pPr>
              <w:pStyle w:val="ConsPlusNormal"/>
              <w:jc w:val="center"/>
            </w:pPr>
            <w:r>
              <w:t>свыше 4 до 4,5 м (включительно)</w:t>
            </w:r>
          </w:p>
        </w:tc>
        <w:tc>
          <w:tcPr>
            <w:tcW w:w="1077" w:type="dxa"/>
          </w:tcPr>
          <w:p w:rsidR="003B68CA" w:rsidRDefault="003B68CA">
            <w:pPr>
              <w:pStyle w:val="ConsPlusNormal"/>
              <w:jc w:val="center"/>
            </w:pPr>
            <w:r>
              <w:t>свыше 4,5 до 5 м (включительно)</w:t>
            </w:r>
          </w:p>
        </w:tc>
        <w:tc>
          <w:tcPr>
            <w:tcW w:w="1531" w:type="dxa"/>
          </w:tcPr>
          <w:p w:rsidR="003B68CA" w:rsidRDefault="003B68CA">
            <w:pPr>
              <w:pStyle w:val="ConsPlusNormal"/>
              <w:jc w:val="center"/>
            </w:pPr>
            <w:r>
              <w:t>свыше 5 м</w:t>
            </w:r>
          </w:p>
        </w:tc>
      </w:tr>
      <w:tr w:rsidR="003B68CA">
        <w:tc>
          <w:tcPr>
            <w:tcW w:w="1474" w:type="dxa"/>
            <w:vMerge/>
          </w:tcPr>
          <w:p w:rsidR="003B68CA" w:rsidRDefault="003B68CA"/>
        </w:tc>
        <w:tc>
          <w:tcPr>
            <w:tcW w:w="11167" w:type="dxa"/>
            <w:gridSpan w:val="12"/>
          </w:tcPr>
          <w:p w:rsidR="003B68CA" w:rsidRDefault="003B68CA">
            <w:pPr>
              <w:pStyle w:val="ConsPlusNormal"/>
              <w:jc w:val="center"/>
            </w:pPr>
            <w:r>
              <w:t>Длина</w:t>
            </w:r>
          </w:p>
        </w:tc>
      </w:tr>
      <w:tr w:rsidR="003B68CA">
        <w:tc>
          <w:tcPr>
            <w:tcW w:w="1474" w:type="dxa"/>
            <w:vMerge/>
          </w:tcPr>
          <w:p w:rsidR="003B68CA" w:rsidRDefault="003B68CA"/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От 25 до 40 м (включительно)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Свыше 40 м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От 25 до 40 м (включительно)</w:t>
            </w:r>
          </w:p>
        </w:tc>
        <w:tc>
          <w:tcPr>
            <w:tcW w:w="794" w:type="dxa"/>
          </w:tcPr>
          <w:p w:rsidR="003B68CA" w:rsidRDefault="003B68CA">
            <w:pPr>
              <w:pStyle w:val="ConsPlusNormal"/>
              <w:jc w:val="center"/>
            </w:pPr>
            <w:r>
              <w:t>Свыше 40 м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От 25 до 40 м (включительно)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Свыше 40 м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От 25 до 40 м (включительно)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Свыше 40 м</w:t>
            </w:r>
          </w:p>
        </w:tc>
        <w:tc>
          <w:tcPr>
            <w:tcW w:w="1077" w:type="dxa"/>
          </w:tcPr>
          <w:p w:rsidR="003B68CA" w:rsidRDefault="003B68CA">
            <w:pPr>
              <w:pStyle w:val="ConsPlusNormal"/>
              <w:jc w:val="center"/>
            </w:pPr>
            <w:r>
              <w:t>Все длины</w:t>
            </w:r>
          </w:p>
        </w:tc>
        <w:tc>
          <w:tcPr>
            <w:tcW w:w="1531" w:type="dxa"/>
          </w:tcPr>
          <w:p w:rsidR="003B68CA" w:rsidRDefault="003B68CA">
            <w:pPr>
              <w:pStyle w:val="ConsPlusNormal"/>
              <w:jc w:val="center"/>
            </w:pPr>
            <w:r>
              <w:t>Все длины</w:t>
            </w:r>
          </w:p>
        </w:tc>
      </w:tr>
      <w:tr w:rsidR="003B68CA">
        <w:tc>
          <w:tcPr>
            <w:tcW w:w="1474" w:type="dxa"/>
          </w:tcPr>
          <w:p w:rsidR="003B68CA" w:rsidRDefault="003B68CA">
            <w:pPr>
              <w:pStyle w:val="ConsPlusNormal"/>
              <w:jc w:val="center"/>
            </w:pPr>
            <w:r>
              <w:t>Автомобиль прикрытия спереди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B68CA" w:rsidRDefault="003B6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B68CA" w:rsidRDefault="003B6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</w:tcPr>
          <w:p w:rsidR="003B68CA" w:rsidRDefault="003B68CA">
            <w:pPr>
              <w:pStyle w:val="ConsPlusNormal"/>
              <w:jc w:val="center"/>
            </w:pPr>
            <w:r>
              <w:t>Определяется проектом организации дорожного движения (</w:t>
            </w:r>
            <w:hyperlink w:anchor="P107" w:history="1">
              <w:r>
                <w:rPr>
                  <w:color w:val="0000FF"/>
                </w:rPr>
                <w:t>пункт 26</w:t>
              </w:r>
            </w:hyperlink>
            <w:r>
              <w:t xml:space="preserve"> Требований)</w:t>
            </w:r>
          </w:p>
        </w:tc>
      </w:tr>
      <w:tr w:rsidR="003B68CA">
        <w:tc>
          <w:tcPr>
            <w:tcW w:w="1474" w:type="dxa"/>
          </w:tcPr>
          <w:p w:rsidR="003B68CA" w:rsidRDefault="003B68CA">
            <w:pPr>
              <w:pStyle w:val="ConsPlusNormal"/>
              <w:jc w:val="center"/>
            </w:pPr>
            <w:r>
              <w:t>Автомобиль прикрытия сзади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B68CA" w:rsidRDefault="003B6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3B68CA" w:rsidRDefault="003B68CA"/>
        </w:tc>
      </w:tr>
    </w:tbl>
    <w:p w:rsidR="003B68CA" w:rsidRDefault="003B68CA">
      <w:pPr>
        <w:sectPr w:rsidR="003B68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  <w:outlineLvl w:val="1"/>
      </w:pPr>
      <w:r>
        <w:t>Приложение N 2</w:t>
      </w:r>
    </w:p>
    <w:p w:rsidR="003B68CA" w:rsidRDefault="003B68CA">
      <w:pPr>
        <w:pStyle w:val="ConsPlusNormal"/>
        <w:jc w:val="right"/>
      </w:pPr>
      <w:r>
        <w:t>к Требованиям (</w:t>
      </w:r>
      <w:hyperlink w:anchor="P89" w:history="1">
        <w:r>
          <w:rPr>
            <w:color w:val="0000FF"/>
          </w:rPr>
          <w:t>пункты 20</w:t>
        </w:r>
      </w:hyperlink>
      <w:r>
        <w:t xml:space="preserve"> и </w:t>
      </w:r>
      <w:hyperlink w:anchor="P90" w:history="1">
        <w:r>
          <w:rPr>
            <w:color w:val="0000FF"/>
          </w:rPr>
          <w:t>21</w:t>
        </w:r>
      </w:hyperlink>
      <w:r>
        <w:t>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</w:pPr>
      <w:r>
        <w:t>Рекомендуемый образец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</w:pPr>
      <w:bookmarkStart w:id="9" w:name="P231"/>
      <w:bookmarkEnd w:id="9"/>
      <w:r>
        <w:t>ОКРАСКА АВТОМОБИЛЕЙ ПРИКРЫТИЯ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227"/>
        </w:rPr>
        <w:pict>
          <v:shape id="_x0000_i1025" style="width:296.65pt;height:237.9pt" coordsize="" o:spt="100" adj="0,,0" path="" filled="f" stroked="f">
            <v:stroke joinstyle="miter"/>
            <v:imagedata r:id="rId37" o:title="base_1_297052_32768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317"/>
        </w:rPr>
        <w:lastRenderedPageBreak/>
        <w:pict>
          <v:shape id="_x0000_i1026" style="width:317.4pt;height:328.3pt" coordsize="" o:spt="100" adj="0,,0" path="" filled="f" stroked="f">
            <v:stroke joinstyle="miter"/>
            <v:imagedata r:id="rId38" o:title="base_1_297052_32769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310"/>
        </w:rPr>
        <w:pict>
          <v:shape id="_x0000_i1027" style="width:339.25pt;height:320.85pt" coordsize="" o:spt="100" adj="0,,0" path="" filled="f" stroked="f">
            <v:stroke joinstyle="miter"/>
            <v:imagedata r:id="rId39" o:title="base_1_297052_32770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  <w:outlineLvl w:val="1"/>
      </w:pPr>
      <w:r>
        <w:t>Приложение N 3</w:t>
      </w:r>
    </w:p>
    <w:p w:rsidR="003B68CA" w:rsidRDefault="003B68CA">
      <w:pPr>
        <w:pStyle w:val="ConsPlusNormal"/>
        <w:jc w:val="right"/>
      </w:pPr>
      <w:r>
        <w:t>к Требованиям (</w:t>
      </w:r>
      <w:hyperlink w:anchor="P57" w:history="1">
        <w:r>
          <w:rPr>
            <w:color w:val="0000FF"/>
          </w:rPr>
          <w:t>пункты 8</w:t>
        </w:r>
      </w:hyperlink>
      <w:r>
        <w:t xml:space="preserve"> и </w:t>
      </w:r>
      <w:hyperlink w:anchor="P59" w:history="1">
        <w:r>
          <w:rPr>
            <w:color w:val="0000FF"/>
          </w:rPr>
          <w:t>10</w:t>
        </w:r>
      </w:hyperlink>
      <w:r>
        <w:t>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right"/>
      </w:pPr>
      <w:r>
        <w:t>Рекомендуемый образец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</w:pPr>
      <w:bookmarkStart w:id="10" w:name="P248"/>
      <w:bookmarkEnd w:id="10"/>
      <w:r>
        <w:t>ОБОЗНАЧЕНИЕ</w:t>
      </w:r>
    </w:p>
    <w:p w:rsidR="003B68CA" w:rsidRDefault="003B68CA">
      <w:pPr>
        <w:pStyle w:val="ConsPlusTitle"/>
        <w:jc w:val="center"/>
      </w:pPr>
      <w:r>
        <w:t xml:space="preserve">ЗНАКАМИ И СИГНАЛАМИ </w:t>
      </w:r>
      <w:proofErr w:type="gramStart"/>
      <w:r>
        <w:t>КРУПНОГАБАРИТНОГО</w:t>
      </w:r>
      <w:proofErr w:type="gramEnd"/>
    </w:p>
    <w:p w:rsidR="003B68CA" w:rsidRDefault="003B68CA">
      <w:pPr>
        <w:pStyle w:val="ConsPlusTitle"/>
        <w:jc w:val="center"/>
      </w:pPr>
      <w:r>
        <w:t>ТРАНСПОРТНОГО СРЕДСТВА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2"/>
      </w:pPr>
      <w:r>
        <w:t>Габариты ширины не более 4 метров (сзади)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314"/>
        </w:rPr>
        <w:pict>
          <v:shape id="_x0000_i1028" style="width:380.15pt;height:325.45pt" coordsize="" o:spt="100" adj="0,,0" path="" filled="f" stroked="f">
            <v:stroke joinstyle="miter"/>
            <v:imagedata r:id="rId40" o:title="base_1_297052_32771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1 - знак "Крупногабаритный груз";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2 - желтые или оранжевые фонари (сигналы), которые могут быть проблесковыми;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3 - желтые или оранжевые фонари (сигналы) и знаки крепятся к транспортному средству или грузу при ширине более 3,5 м;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4 - желтые или оранжевые проблесковые огни используются при движении транспортного средства;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5 - знак "Ограничение скорости" на крупногабаритном и (или) тяжеловесном транспортном средстве со значением допустимой скорости его движения, указанной в специальном разрешении;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6 - знак "Длинномерное транспортное средство" в том случае, если его длина с грузом или без него превышает 20 м, а также на автопоездах с двумя и более прицепами.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2"/>
      </w:pPr>
      <w:r>
        <w:lastRenderedPageBreak/>
        <w:t>Габариты ширины не более 4 метров (спереди)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275"/>
        </w:rPr>
        <w:pict>
          <v:shape id="_x0000_i1029" style="width:374.4pt;height:286.25pt" coordsize="" o:spt="100" adj="0,,0" path="" filled="f" stroked="f">
            <v:stroke joinstyle="miter"/>
            <v:imagedata r:id="rId41" o:title="base_1_297052_32772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1 - знак "Крупногабаритный груз";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2 - желтые или оранжевые фонари (сигналы), которые могут быть проблесковыми;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3 - желтые или оранжевые фонари (сигналы) и знаки крепятся к транспортному средству или грузу при ширине более 3,5 м. При ширине груза более 3 метров, желтых или оранжевых огней должно быть по два с каждой стороны;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4 - желтые или оранжевые проблесковые огни используются при движении транспортного средства;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5 - опознавательный знак "Автопоезд".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2"/>
      </w:pPr>
      <w:r>
        <w:t>Габариты ширины более 4 метров (сзади)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304"/>
        </w:rPr>
        <w:lastRenderedPageBreak/>
        <w:pict>
          <v:shape id="_x0000_i1030" style="width:367.5pt;height:315.65pt" coordsize="" o:spt="100" adj="0,,0" path="" filled="f" stroked="f">
            <v:stroke joinstyle="miter"/>
            <v:imagedata r:id="rId42" o:title="base_1_297052_32773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1 - знак "Крупногабаритный груз";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2 - желтые или оранжевые фонари (сигналы), которые могут быть проблесковыми;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3 - желтые или оранжевые фонари (сигналы) и знаки крепятся к транспортному средству или грузу при ширине более 3,5 м;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4 - желтые или оранжевые проблесковые огни используются одновременно с имеющимися проблесковыми огнями, которые используются на автомобиле прикрытия;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5 - знак "Ограничение скорости" на крупногабаритном и тяжеловесном транспортном средстве с указанием значения допустимой скорости его движения, записанной в разрешении на перевозку;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6 - знак "Длинномерное транспортное средство" в том случае, если длина транспортного средства с грузом или без него превышает 20 м, а также на автопоезде с двумя и более прицепами;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7 - желтые или оранжевые дополнительные огни, которые могут быть проблесковыми, должны быть установлены через каждый метр, когда расстояние между световыми сигналами транспортного средства и крайним опознавательным сигналом груза более метра.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Title"/>
        <w:jc w:val="center"/>
        <w:outlineLvl w:val="2"/>
      </w:pPr>
      <w:r>
        <w:t>Габариты ширины более 4 метров (спереди)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center"/>
      </w:pPr>
      <w:r w:rsidRPr="00097CEF">
        <w:rPr>
          <w:position w:val="-299"/>
        </w:rPr>
        <w:lastRenderedPageBreak/>
        <w:pict>
          <v:shape id="_x0000_i1031" style="width:405.5pt;height:310.45pt" coordsize="" o:spt="100" adj="0,,0" path="" filled="f" stroked="f">
            <v:stroke joinstyle="miter"/>
            <v:imagedata r:id="rId43" o:title="base_1_297052_32774"/>
            <v:formulas/>
            <v:path o:connecttype="segments"/>
          </v:shape>
        </w:pic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ind w:firstLine="540"/>
        <w:jc w:val="both"/>
      </w:pPr>
      <w:r>
        <w:t>1 - знак "Крупногабаритный груз";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2 - желтые или оранжевые фонари (сигналы), которые могут быть проблесковыми;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3 - желтые или оранжевые фонари (сигналы) и знаки крепятся к транспортному средству или грузу. При ширине груза более 3 м желтых или оранжевых огней должно быть по два с каждой стороны;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4 - желтые или оранжевые проблесковые огни используются одновременно с теми, которые есть на автомобиле прикрытия;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5 - желтые или оранжевые дополнительные огни, которые могут быть проблесковыми, должны быть установлены через каждый метр, когда расстояние между световыми сигналами транспортного средства и крайним опознавательным сигналом груза более метра;</w:t>
      </w:r>
    </w:p>
    <w:p w:rsidR="003B68CA" w:rsidRDefault="003B68CA">
      <w:pPr>
        <w:pStyle w:val="ConsPlusNormal"/>
        <w:spacing w:before="220"/>
        <w:ind w:firstLine="540"/>
        <w:jc w:val="both"/>
      </w:pPr>
      <w:r>
        <w:t>6 - опознавательный знак "Автопоезд".</w:t>
      </w: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jc w:val="both"/>
      </w:pPr>
    </w:p>
    <w:p w:rsidR="003B68CA" w:rsidRDefault="003B6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2D1" w:rsidRDefault="00D032D1">
      <w:bookmarkStart w:id="11" w:name="_GoBack"/>
      <w:bookmarkEnd w:id="11"/>
    </w:p>
    <w:sectPr w:rsidR="00D032D1" w:rsidSect="00097C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CA"/>
    <w:rsid w:val="003B68CA"/>
    <w:rsid w:val="00D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F7262783BDA46B2C4B5CDAFB5826D868D26499FC93AC07E8202531480D97CF4666536Bn5WEH" TargetMode="External"/><Relationship Id="rId18" Type="http://schemas.openxmlformats.org/officeDocument/2006/relationships/hyperlink" Target="consultantplus://offline/ref=8CF7262783BDA46B2C4B5CDAFB5826D868DA6A98FB91AC07E8202531480D97CF4666536359982C2FnBW7H" TargetMode="External"/><Relationship Id="rId26" Type="http://schemas.openxmlformats.org/officeDocument/2006/relationships/hyperlink" Target="consultantplus://offline/ref=8CF7262783BDA46B2C4B5CDAFB5826D868DB6693FE9BAC07E8202531480D97CF46665366n5WDH" TargetMode="External"/><Relationship Id="rId39" Type="http://schemas.openxmlformats.org/officeDocument/2006/relationships/image" Target="media/image3.jpeg"/><Relationship Id="rId21" Type="http://schemas.openxmlformats.org/officeDocument/2006/relationships/hyperlink" Target="consultantplus://offline/ref=8CF7262783BDA46B2C4B5CDAFB5826D868D36B95F092AC07E8202531480D97CF466653635998262DnBWBH" TargetMode="External"/><Relationship Id="rId34" Type="http://schemas.openxmlformats.org/officeDocument/2006/relationships/hyperlink" Target="consultantplus://offline/ref=8CF7262783BDA46B2C4B5CDAFB5826D868DA6598FE96AC07E820253148n0WDH" TargetMode="External"/><Relationship Id="rId42" Type="http://schemas.openxmlformats.org/officeDocument/2006/relationships/image" Target="media/image6.jpeg"/><Relationship Id="rId7" Type="http://schemas.openxmlformats.org/officeDocument/2006/relationships/hyperlink" Target="consultantplus://offline/ref=8CF7262783BDA46B2C4B5CDAFB5826D868D26691F893AC07E8202531480D97CF4666536359982E2DnBW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7262783BDA46B2C4B5CDAFB5826D868DA6A98FB91AC07E820253148n0WDH" TargetMode="External"/><Relationship Id="rId29" Type="http://schemas.openxmlformats.org/officeDocument/2006/relationships/hyperlink" Target="consultantplus://offline/ref=8CF7262783BDA46B2C4B5CDAFB5826D868DB6692F196AC07E820253148n0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8D26499FC93AC07E8202531480D97CF4666536Bn5WEH" TargetMode="External"/><Relationship Id="rId11" Type="http://schemas.openxmlformats.org/officeDocument/2006/relationships/hyperlink" Target="consultantplus://offline/ref=8CF7262783BDA46B2C4B5CDAFB5826D868D26691F893AC07E8202531480D97CF4666536359982C28nBW3H" TargetMode="External"/><Relationship Id="rId24" Type="http://schemas.openxmlformats.org/officeDocument/2006/relationships/hyperlink" Target="consultantplus://offline/ref=8CF7262783BDA46B2C4B5CDAFB5826D868D26791FB9BAC07E820253148n0WDH" TargetMode="External"/><Relationship Id="rId32" Type="http://schemas.openxmlformats.org/officeDocument/2006/relationships/hyperlink" Target="consultantplus://offline/ref=8CF7262783BDA46B2C4B5CDAFB5826D868DB6693FE9BAC07E820253148n0WDH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jpeg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F7262783BDA46B2C4B5CDAFB5826D868D36B95F092AC07E8202531480D97CF4666536359982E2DnBW7H" TargetMode="External"/><Relationship Id="rId23" Type="http://schemas.openxmlformats.org/officeDocument/2006/relationships/hyperlink" Target="consultantplus://offline/ref=8CF7262783BDA46B2C4B5CDAFB5826D868D26791FB9BAC07E8202531480D97CF4666536359982E2DnBW2H" TargetMode="External"/><Relationship Id="rId28" Type="http://schemas.openxmlformats.org/officeDocument/2006/relationships/hyperlink" Target="consultantplus://offline/ref=8CF7262783BDA46B2C4B5CDAFB5826D868DB6693FE9BAC07E820253148n0WDH" TargetMode="External"/><Relationship Id="rId36" Type="http://schemas.openxmlformats.org/officeDocument/2006/relationships/hyperlink" Target="consultantplus://offline/ref=8CF7262783BDA46B2C4B5CDAFB5826D868D36592FA91AC07E820253148n0WDH" TargetMode="External"/><Relationship Id="rId10" Type="http://schemas.openxmlformats.org/officeDocument/2006/relationships/hyperlink" Target="consultantplus://offline/ref=8CF7262783BDA46B2C4B5CDAFB5826D868D26691F893AC07E8202531480D97CF4666536359982F25nBW4H" TargetMode="External"/><Relationship Id="rId19" Type="http://schemas.openxmlformats.org/officeDocument/2006/relationships/hyperlink" Target="consultantplus://offline/ref=8CF7262783BDA46B2C4B5CDAFB5826D868DA6A98FB91AC07E8202531480D97CF46665363599B2E2DnBW3H" TargetMode="External"/><Relationship Id="rId31" Type="http://schemas.openxmlformats.org/officeDocument/2006/relationships/hyperlink" Target="consultantplus://offline/ref=8CF7262783BDA46B2C4B5CDAFB5826D868DB6692F196AC07E820253148n0WD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262783BDA46B2C4B5CDAFB5826D868D26691F893AC07E8202531480D97CF4666536359982F2FnBW5H" TargetMode="External"/><Relationship Id="rId14" Type="http://schemas.openxmlformats.org/officeDocument/2006/relationships/hyperlink" Target="consultantplus://offline/ref=8CF7262783BDA46B2C4B5CDAFB5826D868DA6A98FB91AC07E8202531480D97CF4666536359982E2FnBW7H" TargetMode="External"/><Relationship Id="rId22" Type="http://schemas.openxmlformats.org/officeDocument/2006/relationships/hyperlink" Target="consultantplus://offline/ref=8CF7262783BDA46B2C4B5CDAFB5826D868D36B95F092AC07E820253148n0WDH" TargetMode="External"/><Relationship Id="rId27" Type="http://schemas.openxmlformats.org/officeDocument/2006/relationships/hyperlink" Target="consultantplus://offline/ref=8CF7262783BDA46B2C4B5CDAFB5826D868DB6693FE9BAC07E820253148n0WDH" TargetMode="External"/><Relationship Id="rId30" Type="http://schemas.openxmlformats.org/officeDocument/2006/relationships/hyperlink" Target="consultantplus://offline/ref=8CF7262783BDA46B2C4B5CDAFB5826D868DB6693FE9BAC07E820253148n0WDH" TargetMode="External"/><Relationship Id="rId35" Type="http://schemas.openxmlformats.org/officeDocument/2006/relationships/hyperlink" Target="consultantplus://offline/ref=8CF7262783BDA46B2C4B5CDAFB5826D868D36592FA91AC07E8202531480D97CF4666536359982D2BnBW3H" TargetMode="External"/><Relationship Id="rId43" Type="http://schemas.openxmlformats.org/officeDocument/2006/relationships/image" Target="media/image7.jpeg"/><Relationship Id="rId8" Type="http://schemas.openxmlformats.org/officeDocument/2006/relationships/hyperlink" Target="consultantplus://offline/ref=8CF7262783BDA46B2C4B5CDAFB5826D868D26691F893AC07E8202531480D97CF4666536359982F2FnBW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F7262783BDA46B2C4B5CDAFB5826D868D26691F893AC07E8202531480D97CF4666536359982D2DnBW0H" TargetMode="External"/><Relationship Id="rId17" Type="http://schemas.openxmlformats.org/officeDocument/2006/relationships/hyperlink" Target="consultantplus://offline/ref=8CF7262783BDA46B2C4B5CDAFB5826D868D36B95F092AC07E820253148n0WDH" TargetMode="External"/><Relationship Id="rId25" Type="http://schemas.openxmlformats.org/officeDocument/2006/relationships/hyperlink" Target="consultantplus://offline/ref=8CF7262783BDA46B2C4B5CDAFB5826D868D36592FA91AC07E820253148n0WDH" TargetMode="External"/><Relationship Id="rId33" Type="http://schemas.openxmlformats.org/officeDocument/2006/relationships/hyperlink" Target="consultantplus://offline/ref=8CF7262783BDA46B2C4B5CDAFB5826D868DB6692F196AC07E820253148n0WDH" TargetMode="External"/><Relationship Id="rId38" Type="http://schemas.openxmlformats.org/officeDocument/2006/relationships/image" Target="media/image2.jpeg"/><Relationship Id="rId20" Type="http://schemas.openxmlformats.org/officeDocument/2006/relationships/hyperlink" Target="consultantplus://offline/ref=8CF7262783BDA46B2C4B5CDAFB5826D868D36B95F092AC07E8202531480D97CF4666536359982A28nBW4H" TargetMode="External"/><Relationship Id="rId4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5001</Words>
  <Characters>28510</Characters>
  <Application>Microsoft Office Word</Application>
  <DocSecurity>0</DocSecurity>
  <Lines>237</Lines>
  <Paragraphs>66</Paragraphs>
  <ScaleCrop>false</ScaleCrop>
  <Company/>
  <LinksUpToDate>false</LinksUpToDate>
  <CharactersWithSpaces>33445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2018-07-30T07:22:00Z</dcterms:created>
  <dcterms:modified xsi:type="dcterms:W3CDTF">2018-07-30T07:23:00Z</dcterms:modified>
</cp:coreProperties>
</file>