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2E" w:rsidRPr="0055210C" w:rsidRDefault="0073122E" w:rsidP="0073122E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Приложение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№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1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Регламенту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(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бланк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)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Liberation Serif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5"/>
        <w:gridCol w:w="230"/>
        <w:gridCol w:w="2012"/>
        <w:gridCol w:w="684"/>
        <w:gridCol w:w="543"/>
        <w:gridCol w:w="339"/>
        <w:gridCol w:w="345"/>
        <w:gridCol w:w="548"/>
        <w:gridCol w:w="1241"/>
        <w:gridCol w:w="189"/>
        <w:gridCol w:w="74"/>
        <w:gridCol w:w="187"/>
        <w:gridCol w:w="224"/>
        <w:gridCol w:w="100"/>
        <w:gridCol w:w="175"/>
        <w:gridCol w:w="68"/>
        <w:gridCol w:w="477"/>
        <w:gridCol w:w="497"/>
        <w:gridCol w:w="108"/>
        <w:gridCol w:w="354"/>
        <w:gridCol w:w="108"/>
        <w:gridCol w:w="52"/>
        <w:gridCol w:w="201"/>
        <w:gridCol w:w="89"/>
      </w:tblGrid>
      <w:tr w:rsidR="0073122E" w:rsidRPr="0055210C" w:rsidTr="00EE70D2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сервитута</w:t>
            </w: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27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Администрацию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Тобольского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района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27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органа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принимающего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лице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представившем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–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):</w:t>
            </w: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Сокращенное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Организационно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правовая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форма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индекс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субъект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населенный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пункт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ОГРН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Фамилия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Имя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Телефон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реквизиты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полномочия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Прошу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(</w:t>
            </w:r>
            <w:proofErr w:type="spellStart"/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ых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(</w:t>
            </w:r>
            <w:proofErr w:type="spell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ов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указываются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предусмотренные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39.37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3.6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закона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25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октября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2001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.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№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137-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ФЗ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«О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введении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действие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Федерации»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):</w:t>
            </w: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756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8756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Испрашиваемый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</w:p>
        </w:tc>
        <w:tc>
          <w:tcPr>
            <w:tcW w:w="32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течение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части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расположенного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объекта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недвижимости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разрешенным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будет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подпунктом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4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пункта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39.41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невозможно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существенно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затруднено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осуществлением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деятельности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обеспечения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устанавливается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возникновении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обстоятельств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</w:r>
            <w:proofErr w:type="gramEnd"/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1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2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21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Обоснование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необходимости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position w:val="10"/>
                <w:sz w:val="28"/>
                <w:szCs w:val="24"/>
                <w:lang w:eastAsia="zh-CN" w:bidi="hi-IN"/>
              </w:rPr>
              <w:t>*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правообладателе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изъятием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государственных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нужд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является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собственником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указанного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lastRenderedPageBreak/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указываются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объеме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предусмотренном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строкой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настоящей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Формы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заполняется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целью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реконструкции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которое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изъятием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государственных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нужд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</w: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95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73122E" w:rsidRPr="0055210C" w:rsidTr="00EE70D2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Кадастровые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номера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описание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местоположения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участков</w:t>
            </w: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rPr>
          <w:trHeight w:val="3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rPr>
          <w:trHeight w:val="3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принадлежит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реконструкции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эксплуатации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способах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результатов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рассмотрения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73122E" w:rsidRPr="0055210C" w:rsidTr="00EE70D2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направляется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уполномоченным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органом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бумажного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получает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непосредственно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личном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обращении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МФЦ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почтового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отправления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прилагаемые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494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согласие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обработку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сбор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систематизацию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накопление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уточнение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обновление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изменение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распространение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передачу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обезличивание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блокирование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уничтожение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также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действий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необходимых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обработки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законодательством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автоматизированном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режиме</w:t>
            </w:r>
            <w:proofErr w:type="gramEnd"/>
          </w:p>
        </w:tc>
      </w:tr>
      <w:tr w:rsidR="0073122E" w:rsidRPr="0055210C" w:rsidTr="00EE70D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что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указанные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настоящем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дату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достоверны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;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копии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содержащиеся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соответствуют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требованиям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39.41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</w:p>
        </w:tc>
      </w:tr>
      <w:tr w:rsidR="0073122E" w:rsidRPr="0055210C" w:rsidTr="00EE70D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24. 15</w:t>
            </w:r>
          </w:p>
        </w:tc>
        <w:tc>
          <w:tcPr>
            <w:tcW w:w="6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«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.</w:t>
            </w:r>
          </w:p>
        </w:tc>
      </w:tr>
      <w:tr w:rsidR="0073122E" w:rsidRPr="0055210C" w:rsidTr="00EE70D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22E" w:rsidRPr="0055210C" w:rsidRDefault="0073122E" w:rsidP="00EE70D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</w:tbl>
    <w:p w:rsidR="0073122E" w:rsidRPr="0055210C" w:rsidRDefault="0073122E" w:rsidP="0073122E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*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должны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быть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приведены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: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подготовки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соответствии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законодательством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градостроительной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деятельности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подлежат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отображению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устройства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пересечений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путями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примыканий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другой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туннелях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исключением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соответствии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законодательством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градостроительной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деятельности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требуется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разработка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программы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комплексного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развития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систем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коммунальной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инфраструктуры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поселения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городского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округа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либо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положения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инвестиционных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программ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субъектов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естественных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монополий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организаций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коммунального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комплекса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мероприятия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строительству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lastRenderedPageBreak/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которые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переносятся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связи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они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расположены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исключением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подачи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одновременно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  <w:proofErr w:type="gramEnd"/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проект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организации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подпунктом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2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39.37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договор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подключении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электрическим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тепловым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водопроводным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водоснабжения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водоотведения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газоснабжения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сторон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договора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сроков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исполнения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требуется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подключения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капитального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-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абзацах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втором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третьем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настоящего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раздела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;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предусмотренный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hyperlink r:id="rId5" w:tgtFrame="_top" w:history="1">
        <w:r w:rsidRPr="0055210C">
          <w:rPr>
            <w:rFonts w:ascii="Liberation Serif" w:eastAsia="Times New Roman" w:hAnsi="Liberation Serif" w:cs="Times New Roman"/>
            <w:color w:val="000000"/>
            <w:kern w:val="1"/>
            <w:sz w:val="24"/>
            <w:szCs w:val="24"/>
            <w:lang w:eastAsia="zh-CN" w:bidi="hi-IN"/>
          </w:rPr>
          <w:t>статьей 19</w:t>
        </w:r>
      </w:hyperlink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8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ноября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2007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257-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автомобильных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дорогах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дорожной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деятельности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внесении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изменений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отдельные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законодательные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акты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Федерации»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hyperlink r:id="rId6" w:tgtFrame="_top" w:history="1">
        <w:r w:rsidRPr="0055210C">
          <w:rPr>
            <w:rFonts w:ascii="Liberation Serif" w:eastAsia="Times New Roman" w:hAnsi="Liberation Serif" w:cs="Times New Roman"/>
            <w:color w:val="000000"/>
            <w:kern w:val="1"/>
            <w:sz w:val="24"/>
            <w:szCs w:val="24"/>
            <w:lang w:eastAsia="zh-CN" w:bidi="hi-IN"/>
          </w:rPr>
          <w:t>частью 4.2 статьи 25</w:t>
        </w:r>
      </w:hyperlink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;</w:t>
      </w:r>
      <w:proofErr w:type="gramEnd"/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которого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осуществляются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реконструкция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капитальный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ремонт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существующих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линейных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планируемыми</w:t>
      </w:r>
      <w:proofErr w:type="gramEnd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строительством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реконструкцией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капитальным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ремонтом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строительства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целей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.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отсутствии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абзацах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втором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третьем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настоящего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раздела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должно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содержать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:</w:t>
      </w:r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1)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расчеты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доводы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касающиеся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наиболее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целесообразного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способа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числе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учетом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безопасной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эксплуатации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капитального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ремонта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безопасности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населения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существующих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зданий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соблюдения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требований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пунктами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8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9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23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  <w:proofErr w:type="gramEnd"/>
    </w:p>
    <w:p w:rsidR="0073122E" w:rsidRPr="0055210C" w:rsidRDefault="0073122E" w:rsidP="007312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2)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невозможности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границах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находящихся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собственности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предоставленных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гражданам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юридическим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лицам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пунктом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5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39.39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невозможности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относящихся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имуществу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образом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чтобы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протяженность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превышала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более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протяженность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принадлежащих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гражданам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юридическим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лицам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.</w:t>
      </w:r>
    </w:p>
    <w:p w:rsidR="00A0697C" w:rsidRDefault="00A0697C">
      <w:bookmarkStart w:id="0" w:name="_GoBack"/>
      <w:bookmarkEnd w:id="0"/>
    </w:p>
    <w:sectPr w:rsidR="00A0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2E"/>
    <w:rsid w:val="0073122E"/>
    <w:rsid w:val="00A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D260849221FA5C407FF8454B5644BDD8AF9D817FEF539C5DE62BB0364E1C9D34544765449C15494E99C52412BAE2EB2" TargetMode="External"/><Relationship Id="rId5" Type="http://schemas.openxmlformats.org/officeDocument/2006/relationships/hyperlink" Target="consultantplus://offline/ref=1DAD260849221FA5C407FF8454B5644BDD8AF9D817FEF539C5DE62BB0364E1C9D34544765449C15592E99C52412BAE2E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2023-05-24T05:52:00Z</dcterms:created>
  <dcterms:modified xsi:type="dcterms:W3CDTF">2023-05-24T05:52:00Z</dcterms:modified>
</cp:coreProperties>
</file>