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20.08.2003 N 512</w:t>
              <w:br/>
              <w:t xml:space="preserve">(ред. от 11.12.2023)</w:t>
              <w:br/>
              <w:t xml:space="preserve">"О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августа 2003 г. N 512</w:t>
      </w:r>
    </w:p>
    <w:p>
      <w:pPr>
        <w:pStyle w:val="2"/>
        <w:jc w:val="center"/>
      </w:pPr>
      <w:r>
        <w:rPr>
          <w:sz w:val="20"/>
        </w:rPr>
      </w:r>
    </w:p>
    <w:p>
      <w:pPr>
        <w:pStyle w:val="2"/>
        <w:jc w:val="center"/>
      </w:pPr>
      <w:r>
        <w:rPr>
          <w:sz w:val="20"/>
        </w:rPr>
        <w:t xml:space="preserve">О ПЕРЕЧНЕ ВИДОВ ДОХОДОВ,</w:t>
      </w:r>
    </w:p>
    <w:p>
      <w:pPr>
        <w:pStyle w:val="2"/>
        <w:jc w:val="center"/>
      </w:pPr>
      <w:r>
        <w:rPr>
          <w:sz w:val="20"/>
        </w:rPr>
        <w:t xml:space="preserve">УЧИТЫВАЕМЫХ ПРИ РАСЧЕТЕ СРЕДНЕДУШЕВОГО</w:t>
      </w:r>
    </w:p>
    <w:p>
      <w:pPr>
        <w:pStyle w:val="2"/>
        <w:jc w:val="center"/>
      </w:pPr>
      <w:r>
        <w:rPr>
          <w:sz w:val="20"/>
        </w:rPr>
        <w:t xml:space="preserve">ДОХОДА СЕМЬИ И ДОХОДА ОДИНОКО ПРОЖИВАЮЩЕГО</w:t>
      </w:r>
    </w:p>
    <w:p>
      <w:pPr>
        <w:pStyle w:val="2"/>
        <w:jc w:val="center"/>
      </w:pPr>
      <w:r>
        <w:rPr>
          <w:sz w:val="20"/>
        </w:rPr>
        <w:t xml:space="preserve">ГРАЖДАНИНА ДЛЯ ОКАЗАНИЯ ИМ ГОСУДАРСТВЕННОЙ</w:t>
      </w:r>
    </w:p>
    <w:p>
      <w:pPr>
        <w:pStyle w:val="2"/>
        <w:jc w:val="center"/>
      </w:pPr>
      <w:r>
        <w:rPr>
          <w:sz w:val="20"/>
        </w:rPr>
        <w:t xml:space="preserve">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30.12.2005 </w:t>
            </w:r>
            <w:hyperlink w:history="0" r:id="rId7" w:tooltip="Постановление Правительства РФ от 30.12.2005 N 847 (ред. от 17.06.2020)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КонсультантПлюс}">
              <w:r>
                <w:rPr>
                  <w:sz w:val="20"/>
                  <w:color w:val="0000ff"/>
                </w:rPr>
                <w:t xml:space="preserve">N 847</w:t>
              </w:r>
            </w:hyperlink>
            <w:r>
              <w:rPr>
                <w:sz w:val="20"/>
                <w:color w:val="392c69"/>
              </w:rPr>
              <w:t xml:space="preserve">,</w:t>
            </w:r>
          </w:p>
          <w:p>
            <w:pPr>
              <w:pStyle w:val="0"/>
              <w:jc w:val="center"/>
            </w:pPr>
            <w:r>
              <w:rPr>
                <w:sz w:val="20"/>
                <w:color w:val="392c69"/>
              </w:rPr>
              <w:t xml:space="preserve">от 01.12.2007 </w:t>
            </w:r>
            <w:hyperlink w:history="0" r:id="rId8" w:tooltip="Постановление Правительства РФ от 01.12.2007 N 837 (ред. от 16.02.2013) &quot;О повышении денежного довольствия военнослужащих и сотрудников некоторых федеральных органов исполнительной власти, изменении и признании утратившими силу некоторых решений Правительства Российской Федерации&quot; {КонсультантПлюс}">
              <w:r>
                <w:rPr>
                  <w:sz w:val="20"/>
                  <w:color w:val="0000ff"/>
                </w:rPr>
                <w:t xml:space="preserve">N 837</w:t>
              </w:r>
            </w:hyperlink>
            <w:r>
              <w:rPr>
                <w:sz w:val="20"/>
                <w:color w:val="392c69"/>
              </w:rPr>
              <w:t xml:space="preserve">, от 24.12.2014 </w:t>
            </w:r>
            <w:hyperlink w:history="0" r:id="rId9" w:tooltip="Постановление Правительства РФ от 24.12.2014 N 1469 (ред. от 18.01.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07.10.2015 </w:t>
            </w:r>
            <w:hyperlink w:history="0" r:id="rId10"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1071</w:t>
              </w:r>
            </w:hyperlink>
            <w:r>
              <w:rPr>
                <w:sz w:val="20"/>
                <w:color w:val="392c69"/>
              </w:rPr>
              <w:t xml:space="preserve">,</w:t>
            </w:r>
          </w:p>
          <w:p>
            <w:pPr>
              <w:pStyle w:val="0"/>
              <w:jc w:val="center"/>
            </w:pPr>
            <w:r>
              <w:rPr>
                <w:sz w:val="20"/>
                <w:color w:val="392c69"/>
              </w:rPr>
              <w:t xml:space="preserve">от 29.04.2020 </w:t>
            </w:r>
            <w:hyperlink w:history="0" r:id="rId11"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 от 21.05.2020 </w:t>
            </w:r>
            <w:hyperlink w:history="0" r:id="rId12"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color w:val="392c69"/>
              </w:rPr>
              <w:t xml:space="preserve">,</w:t>
            </w:r>
          </w:p>
          <w:p>
            <w:pPr>
              <w:pStyle w:val="0"/>
              <w:jc w:val="center"/>
            </w:pPr>
            <w:r>
              <w:rPr>
                <w:sz w:val="20"/>
                <w:color w:val="392c69"/>
              </w:rPr>
              <w:t xml:space="preserve">от 11.08.2021 </w:t>
            </w:r>
            <w:hyperlink w:history="0" r:id="rId13"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1330</w:t>
              </w:r>
            </w:hyperlink>
            <w:r>
              <w:rPr>
                <w:sz w:val="20"/>
                <w:color w:val="392c69"/>
              </w:rPr>
              <w:t xml:space="preserve">, от 11.09.2021 </w:t>
            </w:r>
            <w:hyperlink w:history="0" r:id="rId14" w:tooltip="Постановление Правительства РФ от 11.09.2021 N 1539 (ред. от 05.02.2024) &quot;О внесении изменений в некоторые акты Правительства Российской Федерации&quot; {КонсультантПлюс}">
              <w:r>
                <w:rPr>
                  <w:sz w:val="20"/>
                  <w:color w:val="0000ff"/>
                </w:rPr>
                <w:t xml:space="preserve">N 1539</w:t>
              </w:r>
            </w:hyperlink>
            <w:r>
              <w:rPr>
                <w:sz w:val="20"/>
                <w:color w:val="392c69"/>
              </w:rPr>
              <w:t xml:space="preserve">, от 19.03.2022 </w:t>
            </w:r>
            <w:hyperlink w:history="0" r:id="rId15" w:tooltip="Постановление Правительства РФ от 19.03.2022 N 410 &quot;О внесении изменения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 Утратил силу или отменен {КонсультантПлюс}">
              <w:r>
                <w:rPr>
                  <w:sz w:val="20"/>
                  <w:color w:val="0000ff"/>
                </w:rPr>
                <w:t xml:space="preserve">N 410</w:t>
              </w:r>
            </w:hyperlink>
            <w:r>
              <w:rPr>
                <w:sz w:val="20"/>
                <w:color w:val="392c69"/>
              </w:rPr>
              <w:t xml:space="preserve">,</w:t>
            </w:r>
          </w:p>
          <w:p>
            <w:pPr>
              <w:pStyle w:val="0"/>
              <w:jc w:val="center"/>
            </w:pPr>
            <w:r>
              <w:rPr>
                <w:sz w:val="20"/>
                <w:color w:val="392c69"/>
              </w:rPr>
              <w:t xml:space="preserve">от 29.12.2022 </w:t>
            </w:r>
            <w:hyperlink w:history="0" r:id="rId16" w:tooltip="Постановление Правительства РФ от 29.12.2022 N 2522 &quot;О внесении изменений в постановление Правительства Российской Федерации от 29 октября 2022 г. N 1933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2522</w:t>
              </w:r>
            </w:hyperlink>
            <w:r>
              <w:rPr>
                <w:sz w:val="20"/>
                <w:color w:val="392c69"/>
              </w:rPr>
              <w:t xml:space="preserve">, от 11.12.2023 </w:t>
            </w:r>
            <w:hyperlink w:history="0" r:id="rId17"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0"/>
                  <w:color w:val="0000ff"/>
                </w:rPr>
                <w:t xml:space="preserve">N 2115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Федерального </w:t>
      </w:r>
      <w:hyperlink w:history="0" r:id="rId1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37" w:tooltip="ПЕРЕЧЕНЬ">
        <w:r>
          <w:rPr>
            <w:sz w:val="20"/>
            <w:color w:val="0000ff"/>
          </w:rPr>
          <w:t xml:space="preserve">перечень</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spacing w:before="200" w:line-rule="auto"/>
        <w:ind w:firstLine="540"/>
        <w:jc w:val="both"/>
      </w:pPr>
      <w:r>
        <w:rPr>
          <w:sz w:val="20"/>
        </w:rPr>
        <w:t xml:space="preserve">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w:history="0" w:anchor="P37" w:tooltip="ПЕРЕЧЕНЬ">
        <w:r>
          <w:rPr>
            <w:sz w:val="20"/>
            <w:color w:val="0000ff"/>
          </w:rPr>
          <w:t xml:space="preserve">перечня</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jc w:val="both"/>
      </w:pPr>
      <w:r>
        <w:rPr>
          <w:sz w:val="20"/>
        </w:rPr>
        <w:t xml:space="preserve">(в ред. Постановлений Правительства РФ от 30.12.2005 </w:t>
      </w:r>
      <w:hyperlink w:history="0" r:id="rId19" w:tooltip="Постановление Правительства РФ от 30.12.2005 N 847 (ред. от 17.06.2020)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КонсультантПлюс}">
        <w:r>
          <w:rPr>
            <w:sz w:val="20"/>
            <w:color w:val="0000ff"/>
          </w:rPr>
          <w:t xml:space="preserve">N 847</w:t>
        </w:r>
      </w:hyperlink>
      <w:r>
        <w:rPr>
          <w:sz w:val="20"/>
        </w:rPr>
        <w:t xml:space="preserve">, от 07.10.2015 </w:t>
      </w:r>
      <w:hyperlink w:history="0" r:id="rId20"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1071</w:t>
        </w:r>
      </w:hyperlink>
      <w:r>
        <w:rPr>
          <w:sz w:val="20"/>
        </w:rPr>
        <w:t xml:space="preserve">)</w:t>
      </w:r>
    </w:p>
    <w:p>
      <w:pPr>
        <w:pStyle w:val="0"/>
        <w:spacing w:before="200" w:line-rule="auto"/>
        <w:ind w:firstLine="540"/>
        <w:jc w:val="both"/>
      </w:pPr>
      <w:r>
        <w:rPr>
          <w:sz w:val="20"/>
        </w:rPr>
        <w:t xml:space="preserve">3. Признать утратившим силу </w:t>
      </w:r>
      <w:hyperlink w:history="0" r:id="rId21" w:tooltip="Постановление Правительства РФ от 22.02.2000 N 152 &quot;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 1040).</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20 августа 2003 г. N 512</w:t>
      </w:r>
    </w:p>
    <w:p>
      <w:pPr>
        <w:pStyle w:val="0"/>
      </w:pPr>
      <w:r>
        <w:rPr>
          <w:sz w:val="20"/>
        </w:rPr>
      </w:r>
    </w:p>
    <w:bookmarkStart w:id="37" w:name="P37"/>
    <w:bookmarkEnd w:id="37"/>
    <w:p>
      <w:pPr>
        <w:pStyle w:val="2"/>
        <w:jc w:val="center"/>
      </w:pPr>
      <w:r>
        <w:rPr>
          <w:sz w:val="20"/>
        </w:rPr>
        <w:t xml:space="preserve">ПЕРЕЧЕНЬ</w:t>
      </w:r>
    </w:p>
    <w:p>
      <w:pPr>
        <w:pStyle w:val="2"/>
        <w:jc w:val="center"/>
      </w:pPr>
      <w:r>
        <w:rPr>
          <w:sz w:val="20"/>
        </w:rPr>
        <w:t xml:space="preserve">ВИДОВ ДОХОДОВ, УЧИТЫВАЕМЫХ</w:t>
      </w:r>
    </w:p>
    <w:p>
      <w:pPr>
        <w:pStyle w:val="2"/>
        <w:jc w:val="center"/>
      </w:pPr>
      <w:r>
        <w:rPr>
          <w:sz w:val="20"/>
        </w:rPr>
        <w:t xml:space="preserve">ПРИ РАСЧЕТЕ СРЕДНЕДУШЕВОГО ДОХОДА СЕМЬИ И ДОХОДА</w:t>
      </w:r>
    </w:p>
    <w:p>
      <w:pPr>
        <w:pStyle w:val="2"/>
        <w:jc w:val="center"/>
      </w:pPr>
      <w:r>
        <w:rPr>
          <w:sz w:val="20"/>
        </w:rPr>
        <w:t xml:space="preserve">ОДИНОКО ПРОЖИВАЮЩЕГО ГРАЖДАНИНА ДЛЯ ОКАЗАНИЯ</w:t>
      </w:r>
    </w:p>
    <w:p>
      <w:pPr>
        <w:pStyle w:val="2"/>
        <w:jc w:val="center"/>
      </w:pPr>
      <w:r>
        <w:rPr>
          <w:sz w:val="20"/>
        </w:rPr>
        <w:t xml:space="preserve">ИМ ГОСУДАРСТВЕННОЙ СОЦИАЛЬНОЙ ПОМОЩИ </w:t>
      </w:r>
      <w:hyperlink w:history="0" w:anchor="P77" w:tooltip="&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
        <w:r>
          <w:rPr>
            <w:sz w:val="20"/>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11.12.2023 N 2115)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spacing w:before="200" w:line-rule="auto"/>
        <w:ind w:firstLine="540"/>
        <w:jc w:val="both"/>
      </w:pPr>
      <w:r>
        <w:rPr>
          <w:sz w:val="20"/>
        </w:rPr>
        <w:t xml:space="preserve">а) вознаграждений, полученных детьми, возраст которых в расчетном периоде, предусмотренном </w:t>
      </w:r>
      <w:hyperlink w:history="0" r:id="rId2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spacing w:before="200" w:line-rule="auto"/>
        <w:ind w:firstLine="540"/>
        <w:jc w:val="both"/>
      </w:pPr>
      <w:r>
        <w:rPr>
          <w:sz w:val="20"/>
        </w:rPr>
        <w:t xml:space="preserve">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00" w:line-rule="auto"/>
        <w:ind w:firstLine="540"/>
        <w:jc w:val="both"/>
      </w:pPr>
      <w:r>
        <w:rPr>
          <w:sz w:val="20"/>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spacing w:before="200" w:line-rule="auto"/>
        <w:ind w:firstLine="540"/>
        <w:jc w:val="both"/>
      </w:pPr>
      <w:r>
        <w:rPr>
          <w:sz w:val="20"/>
        </w:rPr>
        <w:t xml:space="preserve">а)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spacing w:before="200" w:line-rule="auto"/>
        <w:ind w:firstLine="540"/>
        <w:jc w:val="both"/>
      </w:pPr>
      <w:r>
        <w:rPr>
          <w:sz w:val="20"/>
        </w:rPr>
        <w:t xml:space="preserve">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00" w:line-rule="auto"/>
        <w:ind w:firstLine="540"/>
        <w:jc w:val="both"/>
      </w:pPr>
      <w:r>
        <w:rPr>
          <w:sz w:val="20"/>
        </w:rPr>
        <w:t xml:space="preserve">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00" w:line-rule="auto"/>
        <w:ind w:firstLine="540"/>
        <w:jc w:val="both"/>
      </w:pPr>
      <w:r>
        <w:rPr>
          <w:sz w:val="20"/>
        </w:rPr>
        <w:t xml:space="preserve">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pStyle w:val="0"/>
        <w:spacing w:before="200" w:line-rule="auto"/>
        <w:ind w:firstLine="540"/>
        <w:jc w:val="both"/>
      </w:pPr>
      <w:r>
        <w:rPr>
          <w:sz w:val="20"/>
        </w:rPr>
        <w:t xml:space="preserve">д) средств материнского (семейного) капитала, предусмотренного Федеральным </w:t>
      </w:r>
      <w:hyperlink w:history="0" r:id="rId24" w:tooltip="Федеральный закон от 29.12.2006 N 256-ФЗ (ред. от 25.12.2023) &quot;О дополнительных мерах государственной поддержки семей, имеющих детей&quot; (с изм. и доп., вступ. в силу с 05.01.2024)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pPr>
        <w:pStyle w:val="0"/>
        <w:spacing w:before="200" w:line-rule="auto"/>
        <w:ind w:firstLine="540"/>
        <w:jc w:val="both"/>
      </w:pPr>
      <w:r>
        <w:rPr>
          <w:sz w:val="20"/>
        </w:rPr>
        <w:t xml:space="preserve">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w:history="0" r:id="rId25"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пунктами 3</w:t>
        </w:r>
      </w:hyperlink>
      <w:r>
        <w:rPr>
          <w:sz w:val="20"/>
        </w:rPr>
        <w:t xml:space="preserve"> и </w:t>
      </w:r>
      <w:hyperlink w:history="0" r:id="rId26"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4</w:t>
        </w:r>
      </w:hyperlink>
      <w:r>
        <w:rPr>
          <w:sz w:val="20"/>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27" w:tooltip="Указ Президента РФ от 13.05.2008 N 775 (ред. от 15.08.2022) &quot;Об учреждении ордена &quot;Родительская слава&quot; {КонсультантПлюс}">
        <w:r>
          <w:rPr>
            <w:sz w:val="20"/>
            <w:color w:val="0000ff"/>
          </w:rPr>
          <w:t xml:space="preserve">пунктом 4</w:t>
        </w:r>
      </w:hyperlink>
      <w:r>
        <w:rPr>
          <w:sz w:val="20"/>
        </w:rPr>
        <w:t xml:space="preserve"> Указа Президента Российской Федерации от 13 мая 2008 г. N 775 "Об учреждении ордена "Родительская слава";</w:t>
      </w:r>
    </w:p>
    <w:p>
      <w:pPr>
        <w:pStyle w:val="0"/>
        <w:spacing w:before="200" w:line-rule="auto"/>
        <w:ind w:firstLine="540"/>
        <w:jc w:val="both"/>
      </w:pPr>
      <w:r>
        <w:rPr>
          <w:sz w:val="20"/>
        </w:rPr>
        <w:t xml:space="preserve">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w:history="0" r:id="rId28" w:tooltip="Указ Президента РФ от 26.02.2013 N 175 (ред. от 01.12.2023)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подпунктом "б" пункта 1</w:t>
        </w:r>
      </w:hyperlink>
      <w:r>
        <w:rPr>
          <w:sz w:val="20"/>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spacing w:before="200" w:line-rule="auto"/>
        <w:ind w:firstLine="540"/>
        <w:jc w:val="both"/>
      </w:pPr>
      <w:r>
        <w:rPr>
          <w:sz w:val="20"/>
        </w:rPr>
        <w:t xml:space="preserve">з)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w:history="0" r:id="rId29"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spacing w:before="200" w:line-rule="auto"/>
        <w:ind w:firstLine="540"/>
        <w:jc w:val="both"/>
      </w:pPr>
      <w:r>
        <w:rPr>
          <w:sz w:val="20"/>
        </w:rPr>
        <w:t xml:space="preserve">и) социального пособия на погребение, установленного Федеральным </w:t>
      </w:r>
      <w:hyperlink w:history="0" r:id="rId30" w:tooltip="Федеральный закон от 12.01.1996 N 8-ФЗ (ред. от 25.12.2023) &quot;О погребении и похоронном деле&quot; (с изм. и доп., вступ. в силу с 01.01.2024) {КонсультантПлюс}">
        <w:r>
          <w:rPr>
            <w:sz w:val="20"/>
            <w:color w:val="0000ff"/>
          </w:rPr>
          <w:t xml:space="preserve">законом</w:t>
        </w:r>
      </w:hyperlink>
      <w:r>
        <w:rPr>
          <w:sz w:val="20"/>
        </w:rPr>
        <w:t xml:space="preserve"> "О погребении и похоронном деле";</w:t>
      </w:r>
    </w:p>
    <w:p>
      <w:pPr>
        <w:pStyle w:val="0"/>
        <w:spacing w:before="200" w:line-rule="auto"/>
        <w:ind w:firstLine="540"/>
        <w:jc w:val="both"/>
      </w:pPr>
      <w:r>
        <w:rPr>
          <w:sz w:val="20"/>
        </w:rPr>
        <w:t xml:space="preserve">к) компенсаций за изготовление и установку надгробных памятников;</w:t>
      </w:r>
    </w:p>
    <w:p>
      <w:pPr>
        <w:pStyle w:val="0"/>
        <w:spacing w:before="200" w:line-rule="auto"/>
        <w:ind w:firstLine="540"/>
        <w:jc w:val="both"/>
      </w:pPr>
      <w:r>
        <w:rPr>
          <w:sz w:val="20"/>
        </w:rPr>
        <w:t xml:space="preserve">л) денежных средств на приобретение недвижимого имущества, автотранспортного или мототранспортного средства, самоходной машины, стоимость приобретения которых в полном объеме оплачена в рамках целевой государственной социальной поддержки.</w:t>
      </w:r>
    </w:p>
    <w:p>
      <w:pPr>
        <w:pStyle w:val="0"/>
        <w:spacing w:before="200" w:line-rule="auto"/>
        <w:ind w:firstLine="540"/>
        <w:jc w:val="both"/>
      </w:pPr>
      <w:r>
        <w:rPr>
          <w:sz w:val="20"/>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4. Сумма полученных алиментов.</w:t>
      </w:r>
    </w:p>
    <w:p>
      <w:pPr>
        <w:pStyle w:val="0"/>
        <w:spacing w:before="200" w:line-rule="auto"/>
        <w:ind w:firstLine="540"/>
        <w:jc w:val="both"/>
      </w:pPr>
      <w:r>
        <w:rPr>
          <w:sz w:val="20"/>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00" w:line-rule="auto"/>
        <w:ind w:firstLine="540"/>
        <w:jc w:val="both"/>
      </w:pPr>
      <w:r>
        <w:rPr>
          <w:sz w:val="20"/>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w:history="0" r:id="rId31"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p>
      <w:pPr>
        <w:pStyle w:val="0"/>
        <w:spacing w:before="200" w:line-rule="auto"/>
        <w:ind w:firstLine="540"/>
        <w:jc w:val="both"/>
      </w:pPr>
      <w:r>
        <w:rPr>
          <w:sz w:val="20"/>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00" w:line-rule="auto"/>
        <w:ind w:firstLine="540"/>
        <w:jc w:val="both"/>
      </w:pPr>
      <w:r>
        <w:rPr>
          <w:sz w:val="20"/>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pPr>
        <w:pStyle w:val="0"/>
        <w:spacing w:before="200" w:line-rule="auto"/>
        <w:ind w:firstLine="540"/>
        <w:jc w:val="both"/>
      </w:pPr>
      <w:r>
        <w:rPr>
          <w:sz w:val="20"/>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00" w:line-rule="auto"/>
        <w:ind w:firstLine="540"/>
        <w:jc w:val="both"/>
      </w:pPr>
      <w:r>
        <w:rPr>
          <w:sz w:val="20"/>
        </w:rPr>
        <w:t xml:space="preserve">11. Доходы от реализации и сдачи в аренду (наем, поднаем) имущества.</w:t>
      </w:r>
    </w:p>
    <w:p>
      <w:pPr>
        <w:pStyle w:val="0"/>
        <w:spacing w:before="200" w:line-rule="auto"/>
        <w:ind w:firstLine="540"/>
        <w:jc w:val="both"/>
      </w:pPr>
      <w:r>
        <w:rPr>
          <w:sz w:val="20"/>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00" w:line-rule="auto"/>
        <w:ind w:firstLine="540"/>
        <w:jc w:val="both"/>
      </w:pPr>
      <w:r>
        <w:rPr>
          <w:sz w:val="20"/>
        </w:rPr>
        <w:t xml:space="preserve">13. Доходы, полученные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14. Ежемесячное пожизненное содержание судей, вышедших в отставку.</w:t>
      </w:r>
    </w:p>
    <w:p>
      <w:pPr>
        <w:pStyle w:val="0"/>
        <w:spacing w:before="200" w:line-rule="auto"/>
        <w:ind w:firstLine="540"/>
        <w:jc w:val="both"/>
      </w:pPr>
      <w:r>
        <w:rPr>
          <w:sz w:val="20"/>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16. Доход, полученный заявителем или членами его семьи за пределами Российской Федерации.</w:t>
      </w:r>
    </w:p>
    <w:p>
      <w:pPr>
        <w:pStyle w:val="0"/>
        <w:spacing w:before="200" w:line-rule="auto"/>
        <w:ind w:firstLine="540"/>
        <w:jc w:val="both"/>
      </w:pPr>
      <w:r>
        <w:rPr>
          <w:sz w:val="20"/>
        </w:rPr>
        <w:t xml:space="preserve">17. Доходы, полученные в результате выигрышей, выплачиваемых организаторами лотерей, тотализаторов и других основанных на риске игр.</w:t>
      </w:r>
    </w:p>
    <w:p>
      <w:pPr>
        <w:pStyle w:val="0"/>
      </w:pPr>
      <w:r>
        <w:rPr>
          <w:sz w:val="20"/>
        </w:rPr>
      </w:r>
    </w:p>
    <w:p>
      <w:pPr>
        <w:pStyle w:val="0"/>
        <w:ind w:firstLine="540"/>
        <w:jc w:val="both"/>
      </w:pPr>
      <w:r>
        <w:rPr>
          <w:sz w:val="20"/>
        </w:rPr>
        <w:t xml:space="preserve">--------------------------------</w:t>
      </w:r>
    </w:p>
    <w:bookmarkStart w:id="77" w:name="P77"/>
    <w:bookmarkEnd w:id="77"/>
    <w:p>
      <w:pPr>
        <w:pStyle w:val="0"/>
        <w:spacing w:before="200" w:line-rule="auto"/>
        <w:ind w:firstLine="540"/>
        <w:jc w:val="both"/>
      </w:pPr>
      <w:r>
        <w:rPr>
          <w:sz w:val="20"/>
        </w:rPr>
        <w:t xml:space="preserve">&lt;*&gt;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20.08.2003 N 512</w:t>
            <w:br/>
            <w:t>(ред. от 11.12.2023)</w:t>
            <w:br/>
            <w:t>"О перечне видов доходов, учитываемых при расчет...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5467&amp;dst=100397" TargetMode = "External"/>
	<Relationship Id="rId8" Type="http://schemas.openxmlformats.org/officeDocument/2006/relationships/hyperlink" Target="https://login.consultant.ru/link/?req=doc&amp;base=LAW&amp;n=142681&amp;dst=100041" TargetMode = "External"/>
	<Relationship Id="rId9" Type="http://schemas.openxmlformats.org/officeDocument/2006/relationships/hyperlink" Target="https://login.consultant.ru/link/?req=doc&amp;base=LAW&amp;n=467681&amp;dst=100293" TargetMode = "External"/>
	<Relationship Id="rId10" Type="http://schemas.openxmlformats.org/officeDocument/2006/relationships/hyperlink" Target="https://login.consultant.ru/link/?req=doc&amp;base=LAW&amp;n=187197&amp;dst=100010" TargetMode = "External"/>
	<Relationship Id="rId11" Type="http://schemas.openxmlformats.org/officeDocument/2006/relationships/hyperlink" Target="https://login.consultant.ru/link/?req=doc&amp;base=LAW&amp;n=355768&amp;dst=1" TargetMode = "External"/>
	<Relationship Id="rId12" Type="http://schemas.openxmlformats.org/officeDocument/2006/relationships/hyperlink" Target="https://login.consultant.ru/link/?req=doc&amp;base=LAW&amp;n=453221&amp;dst=100128" TargetMode = "External"/>
	<Relationship Id="rId13" Type="http://schemas.openxmlformats.org/officeDocument/2006/relationships/hyperlink" Target="https://login.consultant.ru/link/?req=doc&amp;base=LAW&amp;n=400169&amp;dst=100012" TargetMode = "External"/>
	<Relationship Id="rId14" Type="http://schemas.openxmlformats.org/officeDocument/2006/relationships/hyperlink" Target="https://login.consultant.ru/link/?req=doc&amp;base=LAW&amp;n=469248&amp;dst=100022" TargetMode = "External"/>
	<Relationship Id="rId15" Type="http://schemas.openxmlformats.org/officeDocument/2006/relationships/hyperlink" Target="https://login.consultant.ru/link/?req=doc&amp;base=LAW&amp;n=412152&amp;dst=100005" TargetMode = "External"/>
	<Relationship Id="rId16" Type="http://schemas.openxmlformats.org/officeDocument/2006/relationships/hyperlink" Target="https://login.consultant.ru/link/?req=doc&amp;base=LAW&amp;n=436555&amp;dst=100022" TargetMode = "External"/>
	<Relationship Id="rId17" Type="http://schemas.openxmlformats.org/officeDocument/2006/relationships/hyperlink" Target="https://login.consultant.ru/link/?req=doc&amp;base=LAW&amp;n=464021&amp;dst=100014" TargetMode = "External"/>
	<Relationship Id="rId18" Type="http://schemas.openxmlformats.org/officeDocument/2006/relationships/hyperlink" Target="https://login.consultant.ru/link/?req=doc&amp;base=LAW&amp;n=452698&amp;dst=100020" TargetMode = "External"/>
	<Relationship Id="rId19" Type="http://schemas.openxmlformats.org/officeDocument/2006/relationships/hyperlink" Target="https://login.consultant.ru/link/?req=doc&amp;base=LAW&amp;n=355467&amp;dst=100398" TargetMode = "External"/>
	<Relationship Id="rId20" Type="http://schemas.openxmlformats.org/officeDocument/2006/relationships/hyperlink" Target="https://login.consultant.ru/link/?req=doc&amp;base=LAW&amp;n=187197&amp;dst=100011" TargetMode = "External"/>
	<Relationship Id="rId21" Type="http://schemas.openxmlformats.org/officeDocument/2006/relationships/hyperlink" Target="https://login.consultant.ru/link/?req=doc&amp;base=LAW&amp;n=26243" TargetMode = "External"/>
	<Relationship Id="rId22" Type="http://schemas.openxmlformats.org/officeDocument/2006/relationships/hyperlink" Target="https://login.consultant.ru/link/?req=doc&amp;base=LAW&amp;n=464021&amp;dst=100014" TargetMode = "External"/>
	<Relationship Id="rId23" Type="http://schemas.openxmlformats.org/officeDocument/2006/relationships/hyperlink" Target="https://login.consultant.ru/link/?req=doc&amp;base=LAW&amp;n=452698&amp;dst=100017" TargetMode = "External"/>
	<Relationship Id="rId24" Type="http://schemas.openxmlformats.org/officeDocument/2006/relationships/hyperlink" Target="https://login.consultant.ru/link/?req=doc&amp;base=LAW&amp;n=465788" TargetMode = "External"/>
	<Relationship Id="rId25" Type="http://schemas.openxmlformats.org/officeDocument/2006/relationships/hyperlink" Target="https://login.consultant.ru/link/?req=doc&amp;base=LAW&amp;n=424448&amp;dst=100013" TargetMode = "External"/>
	<Relationship Id="rId26" Type="http://schemas.openxmlformats.org/officeDocument/2006/relationships/hyperlink" Target="https://login.consultant.ru/link/?req=doc&amp;base=LAW&amp;n=424448&amp;dst=100014" TargetMode = "External"/>
	<Relationship Id="rId27" Type="http://schemas.openxmlformats.org/officeDocument/2006/relationships/hyperlink" Target="https://login.consultant.ru/link/?req=doc&amp;base=LAW&amp;n=424498&amp;dst=100063" TargetMode = "External"/>
	<Relationship Id="rId28" Type="http://schemas.openxmlformats.org/officeDocument/2006/relationships/hyperlink" Target="https://login.consultant.ru/link/?req=doc&amp;base=LAW&amp;n=463501&amp;dst=100009" TargetMode = "External"/>
	<Relationship Id="rId29" Type="http://schemas.openxmlformats.org/officeDocument/2006/relationships/hyperlink" Target="https://login.consultant.ru/link/?req=doc&amp;base=LAW&amp;n=451872" TargetMode = "External"/>
	<Relationship Id="rId30" Type="http://schemas.openxmlformats.org/officeDocument/2006/relationships/hyperlink" Target="https://login.consultant.ru/link/?req=doc&amp;base=LAW&amp;n=465785" TargetMode = "External"/>
	<Relationship Id="rId31" Type="http://schemas.openxmlformats.org/officeDocument/2006/relationships/hyperlink" Target="https://login.consultant.ru/link/?req=doc&amp;base=LAW&amp;n=452698&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20.08.2003 N 512
(ред. от 11.12.2023)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dc:title>
  <dcterms:created xsi:type="dcterms:W3CDTF">2024-02-19T06:26:18Z</dcterms:created>
</cp:coreProperties>
</file>